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项目支出绩效报告（自评）（参考提纲）</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呈贡区社保局2019年所有项目均未达到200万元。项目包括：企业退休人员独子费、开展养老保险工作经费、社保基金稽核费、软件维护费、工伤保险工作经费、社会保险征收管理工作补助经费、2018年市属企业退休人员社会化管理服务经费、政府采购、离退休人员活动经费、2018年省属社会化管理专项经费等，共10个项目。</w:t>
      </w:r>
    </w:p>
    <w:p>
      <w:pPr>
        <w:topLinePunct/>
        <w:ind w:firstLine="594" w:firstLineChars="200"/>
        <w:rPr>
          <w:rFonts w:hint="eastAsia"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hint="eastAsia" w:ascii="仿宋_GB2312"/>
          <w:szCs w:val="32"/>
        </w:rPr>
        <w:t>2019年呈贡区社保局养老保险、企业独子费等10个项目共164.27万元以全部列支完毕。</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呈贡区社保局项目资金均属于公共财政预算资金。养老保险工作经费，按照工作进度，逐级申请、审批，推进工作；企业离退休人员独生子女费逐月按规定进行发放；社保基金稽核费，根据省市相关要求，开展信息化生存验证功能，开展追欠核定缴费基数等稽核工作。软件维护费，在确保社保局各个软件系统的稳定的前提下，严格按照内控制度及审批流程，开展委托系统维护业务。工伤工作经费，按照省市工伤保险的相关政策要求，积极开展呈贡区</w:t>
      </w:r>
      <w:r>
        <w:rPr>
          <w:rFonts w:hint="eastAsia" w:ascii="仿宋_GB2312" w:hAnsi="仿宋_GB2312" w:cs="仿宋_GB2312"/>
          <w:szCs w:val="32"/>
          <w:lang w:eastAsia="zh-CN"/>
        </w:rPr>
        <w:t>农民工</w:t>
      </w:r>
      <w:r>
        <w:rPr>
          <w:rFonts w:hint="eastAsia" w:ascii="仿宋_GB2312" w:hAnsi="仿宋_GB2312" w:cs="仿宋_GB2312"/>
          <w:szCs w:val="32"/>
        </w:rPr>
        <w:t>工伤宣传工作，尤其是针对建筑行业的宣传，保障了广大建筑行业农民工群体的合法权益；离退休人员活动费，积极和区老干局联系沟通，由区老干局提出方案，社保局保障经费，对全区符合条件的离退休人员开展文体活动，丰富了离退休人员的</w:t>
      </w:r>
      <w:bookmarkStart w:id="0" w:name="_GoBack"/>
      <w:bookmarkEnd w:id="0"/>
      <w:r>
        <w:rPr>
          <w:rFonts w:hint="eastAsia" w:ascii="仿宋_GB2312" w:hAnsi="仿宋_GB2312" w:cs="仿宋_GB2312"/>
          <w:szCs w:val="32"/>
        </w:rPr>
        <w:t>退休生活。呈贡区社保局各项目均按照区财政相关审批要求和部门内控制度、财务制度进行开支管理，并根据各项目的不同牵头科室，分析细化了各项目的绩效目标方案。</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hAnsi="仿宋_GB2312" w:cs="仿宋_GB2312"/>
          <w:szCs w:val="32"/>
        </w:rPr>
        <w:t>2019年企业离退休独子费项目在绩效领导小组的领导下，由企业统筹科牵头，具体分析制定项目绩效目标。根据相关政策，及时把握资金收支向财政申请追加缺口资金，保障了待遇领取人员能按时足额领取到独子费待遇。呈贡区社保局各项目，按照科室针对性的明确各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szCs w:val="32"/>
        </w:rPr>
      </w:pPr>
      <w:r>
        <w:rPr>
          <w:rFonts w:hint="eastAsia" w:ascii="仿宋_GB2312"/>
          <w:szCs w:val="32"/>
        </w:rPr>
        <w:t>企业离退休独生子女费项目的经济性:依据上年支出情况，合理编制当年预算，并根据每年增资调待相关政策预估资金缺口，向财政及时申请追加资金，已保障待遇按时足额发放。效率性：对于符合待遇领取人员，严格审核，保障待遇的及时、准确。有效性：企业离退休独子费是落实国家计生政策的重要组成部分，对符合领取待遇人员有一定的保障作用。可持续性：独子费项目是一项政策性很强的长期性的工作，对此将严格落实相关政策要求，确保领取待遇群体的权益的到保障。</w:t>
      </w:r>
    </w:p>
    <w:p>
      <w:pPr>
        <w:topLinePunct/>
        <w:ind w:firstLine="594" w:firstLineChars="200"/>
        <w:rPr>
          <w:rFonts w:ascii="仿宋_GB2312"/>
          <w:szCs w:val="32"/>
        </w:rPr>
      </w:pPr>
      <w:r>
        <w:rPr>
          <w:rFonts w:hint="eastAsia" w:ascii="仿宋_GB2312"/>
          <w:szCs w:val="32"/>
        </w:rPr>
        <w:t>呈贡区社保局各项目的经济性：严格按照年初预算金额开展支出，控制项目成本。效率性：</w:t>
      </w:r>
      <w:r>
        <w:rPr>
          <w:rFonts w:hint="eastAsia" w:ascii="仿宋_GB2312" w:hAnsi="仿宋_GB2312" w:cs="仿宋_GB2312"/>
          <w:szCs w:val="32"/>
        </w:rPr>
        <w:t>稽核费，根据省市相关要求，开展信息化生存验证功能，极大的方便了群众。工伤保险工作经费，积极推进省市工伤保险相关政策的落实，尤其是建筑行业，对于保障建筑行业农民工作出了相应贡献，为新区发展提供了有力保障。有效性：养老保险工作经费的使用，保障了机关事业养老保险制度改革的全面推进，2019年开展1次培训，根据相关政策，核算中人待遇、做实职业年金等，推进机关养保事业的发展。可持续性：各项目为保障社保局各社会保险业务工作开展、征缴核定、待遇核定等经办业务提供保障及支持，是一项长期、持续的工作。</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szCs w:val="32"/>
        </w:rPr>
      </w:pPr>
      <w:r>
        <w:rPr>
          <w:rFonts w:hint="eastAsia" w:ascii="仿宋_GB2312"/>
          <w:szCs w:val="32"/>
        </w:rPr>
        <w:t>呈贡区将在现有的制度下，继续针对性的对各个项目逐步制定资金管理办法。以确保开支各项目资金有依有据。</w:t>
      </w:r>
    </w:p>
    <w:p>
      <w:pPr>
        <w:topLinePunct/>
        <w:ind w:firstLine="594" w:firstLineChars="200"/>
        <w:rPr>
          <w:rFonts w:hint="eastAsia" w:ascii="仿宋_GB2312"/>
          <w:szCs w:val="32"/>
        </w:rPr>
      </w:pPr>
      <w:r>
        <w:rPr>
          <w:rFonts w:hint="eastAsia" w:ascii="仿宋_GB2312"/>
          <w:szCs w:val="32"/>
        </w:rPr>
        <w:t>（二）资金分配方面的问题。</w:t>
      </w:r>
    </w:p>
    <w:p>
      <w:pPr>
        <w:topLinePunct/>
        <w:ind w:firstLine="594" w:firstLineChars="200"/>
        <w:rPr>
          <w:rFonts w:ascii="仿宋_GB2312"/>
          <w:szCs w:val="32"/>
        </w:rPr>
      </w:pPr>
      <w:r>
        <w:rPr>
          <w:rFonts w:hint="eastAsia" w:ascii="仿宋_GB2312"/>
          <w:szCs w:val="32"/>
        </w:rPr>
        <w:t>呈贡区社保局各项目资金分配合理，公平公正；无散小差现象；资金分配和使用方向与资金管理办法相符。</w:t>
      </w:r>
    </w:p>
    <w:p>
      <w:pPr>
        <w:topLinePunct/>
        <w:ind w:firstLine="594" w:firstLineChars="200"/>
        <w:rPr>
          <w:rFonts w:hint="eastAsia" w:ascii="仿宋_GB2312"/>
          <w:szCs w:val="32"/>
        </w:rPr>
      </w:pPr>
      <w:r>
        <w:rPr>
          <w:rFonts w:hint="eastAsia" w:ascii="仿宋_GB2312"/>
          <w:szCs w:val="32"/>
        </w:rPr>
        <w:t>（三）资金拨付方面的问题。拨付是否及时，有无滞留、闲置等现象。</w:t>
      </w:r>
    </w:p>
    <w:p>
      <w:pPr>
        <w:topLinePunct/>
        <w:ind w:firstLine="594" w:firstLineChars="200"/>
        <w:rPr>
          <w:rFonts w:ascii="仿宋_GB2312"/>
          <w:szCs w:val="32"/>
        </w:rPr>
      </w:pPr>
      <w:r>
        <w:rPr>
          <w:rFonts w:hint="eastAsia" w:ascii="仿宋_GB2312"/>
          <w:szCs w:val="32"/>
        </w:rPr>
        <w:t>呈贡区社保局根据政策和经办业务要求，及时向财政申请拨付经费，在收到经费后拨付及时，无滞留、闲置等现象。</w:t>
      </w:r>
    </w:p>
    <w:p>
      <w:pPr>
        <w:topLinePunct/>
        <w:ind w:firstLine="594" w:firstLineChars="200"/>
        <w:rPr>
          <w:rFonts w:hint="eastAsia" w:ascii="仿宋_GB2312"/>
          <w:szCs w:val="32"/>
        </w:rPr>
      </w:pPr>
      <w:r>
        <w:rPr>
          <w:rFonts w:hint="eastAsia" w:ascii="仿宋_GB2312"/>
          <w:szCs w:val="32"/>
        </w:rPr>
        <w:t>（四）资金使用方面的问题。资金使用是否合规，有无截留、挪用等现象，资金使用是否产生效益等。</w:t>
      </w:r>
    </w:p>
    <w:p>
      <w:pPr>
        <w:topLinePunct/>
        <w:ind w:firstLine="594" w:firstLineChars="200"/>
        <w:rPr>
          <w:rFonts w:ascii="仿宋_GB2312"/>
          <w:szCs w:val="32"/>
        </w:rPr>
      </w:pPr>
      <w:r>
        <w:rPr>
          <w:rFonts w:hint="eastAsia" w:ascii="仿宋_GB2312"/>
          <w:szCs w:val="32"/>
        </w:rPr>
        <w:t>呈贡区社保局资金使用合规，无截留、挪用等现象，资金使用产生一定的社会效益等。</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ascii="仿宋_GB2312"/>
          <w:szCs w:val="32"/>
        </w:rPr>
      </w:pPr>
      <w:r>
        <w:rPr>
          <w:rFonts w:hint="eastAsia" w:ascii="仿宋_GB2312"/>
          <w:szCs w:val="32"/>
        </w:rPr>
        <w:t>对于绩效评估、分析的政策学习尚不到位，对于政策的前瞻性有所欠缺，不能预见性的提前做好资金计划。</w:t>
      </w:r>
    </w:p>
    <w:p>
      <w:pPr>
        <w:topLinePunct/>
        <w:ind w:firstLine="594" w:firstLineChars="200"/>
        <w:rPr>
          <w:rFonts w:ascii="仿宋_GB2312"/>
          <w:szCs w:val="32"/>
        </w:rPr>
      </w:pPr>
      <w:r>
        <w:rPr>
          <w:rFonts w:hint="eastAsia" w:ascii="仿宋_GB2312"/>
          <w:szCs w:val="32"/>
        </w:rPr>
        <w:t>（二）主要经验做法、改进措施和有关建议等。</w:t>
      </w:r>
    </w:p>
    <w:p>
      <w:pPr>
        <w:rPr>
          <w:rFonts w:hint="eastAsia"/>
        </w:rPr>
      </w:pPr>
    </w:p>
    <w:p>
      <w:pPr>
        <w:ind w:firstLine="5792" w:firstLineChars="1950"/>
        <w:rPr>
          <w:rFonts w:hint="eastAsia"/>
        </w:rPr>
      </w:pPr>
      <w:r>
        <w:rPr>
          <w:rFonts w:hint="eastAsia"/>
        </w:rPr>
        <w:t>呈贡区社保局</w:t>
      </w:r>
    </w:p>
    <w:p>
      <w:pPr>
        <w:ind w:firstLine="5495" w:firstLineChars="1850"/>
      </w:pPr>
      <w:r>
        <w:rPr>
          <w:rFonts w:hint="eastAsia"/>
        </w:rPr>
        <w:t>2020年3月18日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NzY5NTI3MTYyNzc1ZGU0ZDgwOWE2MzViZjA2NzUifQ=="/>
  </w:docVars>
  <w:rsids>
    <w:rsidRoot w:val="002B426D"/>
    <w:rsid w:val="002B426D"/>
    <w:rsid w:val="009502CD"/>
    <w:rsid w:val="00C8342C"/>
    <w:rsid w:val="00CE1453"/>
    <w:rsid w:val="05AE36CA"/>
    <w:rsid w:val="378A5996"/>
    <w:rsid w:val="5A3C6978"/>
    <w:rsid w:val="5FBD44E2"/>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2131</Words>
  <Characters>2165</Characters>
  <Lines>15</Lines>
  <Paragraphs>4</Paragraphs>
  <TotalTime>1</TotalTime>
  <ScaleCrop>false</ScaleCrop>
  <LinksUpToDate>false</LinksUpToDate>
  <CharactersWithSpaces>2165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2020-03-18T02:27:00Z</dcterms:created>
  <dc:creator>jyjcg</dc:creator>
  <cp:lastModifiedBy>Administrator</cp:lastModifiedBy>
  <dcterms:modified xsi:type="dcterms:W3CDTF">2022-10-20T07:39:58Z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4D48238AD8A344F9956BF9277B7F8E05</vt:lpwstr>
  </property>
</Properties>
</file>