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投诉问题办理情况</w:t>
      </w:r>
      <w:r>
        <w:rPr>
          <w:rFonts w:hint="eastAsia" w:ascii="方正小标宋简体" w:hAnsi="方正小标宋简体" w:eastAsia="方正小标宋简体" w:cs="方正小标宋简体"/>
          <w:sz w:val="44"/>
          <w:szCs w:val="44"/>
        </w:rPr>
        <w:t>公示表</w:t>
      </w:r>
    </w:p>
    <w:p>
      <w:pPr>
        <w:widowControl/>
        <w:spacing w:line="560" w:lineRule="exact"/>
        <w:jc w:val="left"/>
        <w:rPr>
          <w:rFonts w:hint="eastAsia" w:ascii="仿宋_GB2312" w:eastAsia="仿宋_GB2312"/>
          <w:szCs w:val="32"/>
        </w:rPr>
      </w:pPr>
    </w:p>
    <w:p>
      <w:pPr>
        <w:widowControl/>
        <w:spacing w:line="560" w:lineRule="exact"/>
        <w:jc w:val="left"/>
      </w:pPr>
      <w:r>
        <w:rPr>
          <w:rFonts w:hint="eastAsia" w:ascii="仿宋_GB2312" w:eastAsia="仿宋_GB2312"/>
          <w:szCs w:val="32"/>
        </w:rPr>
        <w:t>公示单位：</w:t>
      </w:r>
      <w:r>
        <w:rPr>
          <w:rFonts w:hint="eastAsia" w:ascii="仿宋_GB2312" w:eastAsia="仿宋_GB2312"/>
          <w:szCs w:val="32"/>
          <w:lang w:val="en-US" w:eastAsia="zh-CN"/>
        </w:rPr>
        <w:t>呈贡区人民政府</w:t>
      </w:r>
      <w:r>
        <w:rPr>
          <w:rFonts w:hint="eastAsia" w:ascii="仿宋_GB2312" w:eastAsia="仿宋_GB2312"/>
          <w:szCs w:val="32"/>
        </w:rPr>
        <w:t>　　</w:t>
      </w:r>
      <w:r>
        <w:rPr>
          <w:rFonts w:hint="eastAsia" w:ascii="仿宋_GB2312" w:eastAsia="仿宋_GB2312"/>
          <w:szCs w:val="32"/>
          <w:lang w:val="en-US" w:eastAsia="zh-CN"/>
        </w:rPr>
        <w:t xml:space="preserve">           2021</w:t>
      </w:r>
      <w:r>
        <w:rPr>
          <w:rFonts w:hint="eastAsia" w:ascii="仿宋_GB2312" w:eastAsia="仿宋_GB2312"/>
          <w:szCs w:val="32"/>
        </w:rPr>
        <w:t>年</w:t>
      </w:r>
      <w:r>
        <w:rPr>
          <w:rFonts w:hint="eastAsia" w:ascii="仿宋_GB2312" w:eastAsia="仿宋_GB2312"/>
          <w:szCs w:val="32"/>
          <w:lang w:val="en-US" w:eastAsia="zh-CN"/>
        </w:rPr>
        <w:t>4</w:t>
      </w:r>
      <w:r>
        <w:rPr>
          <w:rFonts w:hint="eastAsia" w:ascii="仿宋_GB2312" w:eastAsia="仿宋_GB2312"/>
          <w:szCs w:val="32"/>
        </w:rPr>
        <w:t>月</w:t>
      </w:r>
      <w:r>
        <w:rPr>
          <w:rFonts w:hint="eastAsia" w:ascii="仿宋_GB2312" w:eastAsia="仿宋_GB2312"/>
          <w:szCs w:val="32"/>
          <w:lang w:val="en-US" w:eastAsia="zh-CN"/>
        </w:rPr>
        <w:t>24</w:t>
      </w:r>
      <w:r>
        <w:rPr>
          <w:rFonts w:hint="eastAsia" w:ascii="仿宋_GB2312" w:eastAsia="仿宋_GB2312"/>
          <w:szCs w:val="32"/>
        </w:rPr>
        <w:t>日</w:t>
      </w:r>
    </w:p>
    <w:tbl>
      <w:tblPr>
        <w:tblStyle w:val="4"/>
        <w:tblpPr w:leftFromText="181" w:rightFromText="181" w:vertAnchor="text" w:horzAnchor="page" w:tblpXSpec="center" w:tblpY="143"/>
        <w:tblOverlap w:val="never"/>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032" w:type="dxa"/>
            <w:vAlign w:val="center"/>
          </w:tcPr>
          <w:p>
            <w:pPr>
              <w:keepNext w:val="0"/>
              <w:keepLines w:val="0"/>
              <w:pageBreakBefore w:val="0"/>
              <w:widowControl/>
              <w:kinsoku/>
              <w:overflowPunct/>
              <w:topLinePunct w:val="0"/>
              <w:bidi w:val="0"/>
              <w:snapToGrid/>
              <w:spacing w:line="280" w:lineRule="exact"/>
              <w:jc w:val="center"/>
              <w:textAlignment w:val="auto"/>
              <w:rPr>
                <w:rFonts w:ascii="仿宋_GB2312" w:eastAsia="仿宋_GB2312"/>
                <w:sz w:val="24"/>
                <w:szCs w:val="24"/>
              </w:rPr>
            </w:pPr>
            <w:r>
              <w:rPr>
                <w:rFonts w:hint="eastAsia" w:ascii="仿宋_GB2312" w:eastAsia="仿宋_GB2312"/>
                <w:sz w:val="24"/>
                <w:szCs w:val="24"/>
              </w:rPr>
              <w:t>投诉问题</w:t>
            </w:r>
          </w:p>
        </w:tc>
        <w:tc>
          <w:tcPr>
            <w:tcW w:w="7648" w:type="dxa"/>
            <w:vAlign w:val="center"/>
          </w:tcPr>
          <w:p>
            <w:pPr>
              <w:keepNext w:val="0"/>
              <w:keepLines w:val="0"/>
              <w:pageBreakBefore w:val="0"/>
              <w:kinsoku/>
              <w:wordWrap w:val="0"/>
              <w:overflowPunct/>
              <w:topLinePunct w:val="0"/>
              <w:autoSpaceDE w:val="0"/>
              <w:autoSpaceDN w:val="0"/>
              <w:bidi w:val="0"/>
              <w:adjustRightInd w:val="0"/>
              <w:snapToGrid/>
              <w:spacing w:line="280" w:lineRule="exact"/>
              <w:ind w:firstLine="480" w:firstLineChars="200"/>
              <w:textAlignment w:val="auto"/>
              <w:rPr>
                <w:rFonts w:hint="eastAsia" w:ascii="仿宋_GB2312" w:eastAsia="仿宋_GB2312"/>
                <w:sz w:val="24"/>
                <w:szCs w:val="24"/>
                <w:lang w:eastAsia="zh-CN"/>
              </w:rPr>
            </w:pPr>
            <w:r>
              <w:rPr>
                <w:rFonts w:hint="eastAsia" w:ascii="Times New Roman" w:hAnsi="Times New Roman" w:eastAsia="仿宋_GB2312"/>
                <w:color w:val="000000"/>
                <w:sz w:val="24"/>
                <w:szCs w:val="24"/>
                <w:lang w:eastAsia="zh-CN"/>
              </w:rPr>
              <w:t>受理编号：</w:t>
            </w:r>
            <w:r>
              <w:rPr>
                <w:rFonts w:hint="eastAsia" w:ascii="Times New Roman" w:hAnsi="Times New Roman" w:eastAsia="仿宋_GB2312"/>
                <w:sz w:val="24"/>
                <w:szCs w:val="24"/>
                <w:lang w:eastAsia="zh-CN"/>
              </w:rPr>
              <w:t>D2YN202104</w:t>
            </w:r>
            <w:r>
              <w:rPr>
                <w:rFonts w:hint="eastAsia" w:ascii="Times New Roman" w:hAnsi="Times New Roman" w:eastAsia="仿宋_GB2312"/>
                <w:sz w:val="24"/>
                <w:szCs w:val="24"/>
                <w:lang w:val="en-US" w:eastAsia="zh-CN"/>
              </w:rPr>
              <w:t>19</w:t>
            </w:r>
            <w:bookmarkStart w:id="0" w:name="_GoBack"/>
            <w:bookmarkEnd w:id="0"/>
            <w:r>
              <w:rPr>
                <w:rFonts w:hint="eastAsia" w:ascii="Times New Roman" w:hAnsi="Times New Roman" w:eastAsia="仿宋_GB2312"/>
                <w:sz w:val="24"/>
                <w:szCs w:val="24"/>
                <w:lang w:val="en-US" w:eastAsia="zh-CN"/>
              </w:rPr>
              <w:t>0078</w:t>
            </w:r>
            <w:r>
              <w:rPr>
                <w:rFonts w:hint="eastAsia" w:ascii="Times New Roman" w:hAnsi="Times New Roman" w:eastAsia="仿宋_GB2312"/>
                <w:color w:val="000000"/>
                <w:sz w:val="24"/>
                <w:szCs w:val="24"/>
                <w:lang w:eastAsia="zh-CN"/>
              </w:rPr>
              <w:t>。投诉人反映：</w:t>
            </w:r>
            <w:r>
              <w:rPr>
                <w:rFonts w:hint="eastAsia" w:ascii="Times New Roman" w:hAnsi="Times New Roman" w:eastAsia="仿宋_GB2312"/>
                <w:color w:val="000000"/>
                <w:sz w:val="24"/>
                <w:szCs w:val="24"/>
                <w:lang w:val="en-US" w:eastAsia="zh-CN"/>
              </w:rPr>
              <w:t>昆明市呈贡区花千坊商业街焱棠烧烤油烟直排影响周边群众生活，举报人诉求拆除该店排烟管后接入公共排烟道。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32" w:type="dxa"/>
            <w:vAlign w:val="center"/>
          </w:tcPr>
          <w:p>
            <w:pPr>
              <w:keepNext w:val="0"/>
              <w:keepLines w:val="0"/>
              <w:pageBreakBefore w:val="0"/>
              <w:widowControl/>
              <w:kinsoku/>
              <w:overflowPunct/>
              <w:topLinePunct w:val="0"/>
              <w:bidi w:val="0"/>
              <w:snapToGrid/>
              <w:spacing w:line="28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both"/>
              <w:textAlignment w:val="auto"/>
              <w:rPr>
                <w:rFonts w:hint="eastAsia" w:ascii="仿宋_GB2312" w:hAnsi="黑体" w:eastAsia="仿宋_GB2312"/>
                <w:bCs/>
                <w:color w:val="000000"/>
                <w:sz w:val="24"/>
                <w:szCs w:val="24"/>
                <w:lang w:val="en-US" w:eastAsia="zh-CN"/>
              </w:rPr>
            </w:pPr>
            <w:r>
              <w:rPr>
                <w:rFonts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日，我</w:t>
            </w:r>
            <w:r>
              <w:rPr>
                <w:rFonts w:hint="eastAsia" w:ascii="仿宋_GB2312" w:hAnsi="仿宋_GB2312" w:eastAsia="仿宋_GB2312" w:cs="仿宋_GB2312"/>
                <w:bCs/>
                <w:color w:val="000000"/>
                <w:sz w:val="24"/>
                <w:szCs w:val="24"/>
              </w:rPr>
              <w:t>区组织</w:t>
            </w:r>
            <w:r>
              <w:rPr>
                <w:rFonts w:hint="eastAsia" w:ascii="仿宋_GB2312" w:hAnsi="仿宋_GB2312" w:eastAsia="仿宋_GB2312" w:cs="仿宋_GB2312"/>
                <w:bCs/>
                <w:color w:val="000000"/>
                <w:sz w:val="24"/>
                <w:szCs w:val="24"/>
                <w:lang w:eastAsia="zh-CN"/>
              </w:rPr>
              <w:t>昆明市生态环境局呈贡分局</w:t>
            </w:r>
            <w:r>
              <w:rPr>
                <w:rFonts w:hint="eastAsia" w:ascii="仿宋_GB2312" w:hAnsi="仿宋_GB2312" w:eastAsia="仿宋_GB2312" w:cs="仿宋_GB2312"/>
                <w:bCs/>
                <w:color w:val="000000"/>
                <w:sz w:val="24"/>
                <w:szCs w:val="24"/>
              </w:rPr>
              <w:t>进行了现场核实。</w:t>
            </w:r>
            <w:r>
              <w:rPr>
                <w:rFonts w:hint="eastAsia" w:ascii="仿宋_GB2312" w:hAnsi="仿宋_GB2312" w:eastAsia="仿宋_GB2312" w:cs="仿宋_GB2312"/>
                <w:color w:val="000000"/>
                <w:sz w:val="24"/>
                <w:szCs w:val="24"/>
              </w:rPr>
              <w:t>经核实</w:t>
            </w:r>
            <w:r>
              <w:rPr>
                <w:rFonts w:hint="eastAsia" w:ascii="仿宋_GB2312" w:hAnsi="黑体" w:eastAsia="仿宋_GB2312"/>
                <w:bCs/>
                <w:color w:val="000000"/>
                <w:sz w:val="24"/>
                <w:szCs w:val="24"/>
                <w:lang w:val="en-US" w:eastAsia="zh-CN"/>
              </w:rPr>
              <w:t>，投诉人反映的烧烤店名为昆明市呈贡区焱棠烧烤店，该店营业时间为18:00-凌晨02：00。经营内容为烧烤，经营项目设有1个厨房，2个烤架，2个集气罩，1套油烟净化装置。</w:t>
            </w:r>
          </w:p>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both"/>
              <w:textAlignment w:val="auto"/>
              <w:rPr>
                <w:rFonts w:hint="eastAsia" w:ascii="仿宋_GB2312" w:hAnsi="黑体" w:eastAsia="仿宋_GB2312"/>
                <w:bCs/>
                <w:color w:val="000000"/>
                <w:sz w:val="24"/>
                <w:szCs w:val="24"/>
                <w:lang w:val="en-US" w:eastAsia="zh-CN"/>
              </w:rPr>
            </w:pPr>
            <w:r>
              <w:rPr>
                <w:rFonts w:hint="eastAsia" w:ascii="仿宋_GB2312" w:hAnsi="黑体" w:eastAsia="仿宋_GB2312"/>
                <w:bCs/>
                <w:color w:val="000000"/>
                <w:sz w:val="24"/>
                <w:szCs w:val="24"/>
                <w:lang w:val="en-US" w:eastAsia="zh-CN"/>
              </w:rPr>
              <w:t>烧烤店油烟排放情况：该烧烤店经营过程中产生的油烟未直排外环境，因该烧烤店店铺位于1栋独立商业楼内，与两侧相邻的公寓楼存在3-5米的间隙，不能采取破坏房屋主体结构的方式，将烟道接入相邻两栋公寓楼公共烟道排放。该烧烤店厨房排烟道实际上是接入商业楼业主方（玺悦金熙酒店）设置于商业楼4楼的酒店厨房专用烟道统一排放。</w:t>
            </w:r>
          </w:p>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both"/>
              <w:textAlignment w:val="auto"/>
              <w:rPr>
                <w:rFonts w:hint="eastAsia" w:ascii="仿宋_GB2312" w:hAnsi="黑体" w:eastAsia="仿宋_GB2312"/>
                <w:bCs/>
                <w:color w:val="000000"/>
                <w:sz w:val="24"/>
                <w:szCs w:val="24"/>
                <w:lang w:val="en-US" w:eastAsia="zh-CN"/>
              </w:rPr>
            </w:pPr>
            <w:r>
              <w:rPr>
                <w:rFonts w:hint="eastAsia" w:ascii="仿宋_GB2312" w:hAnsi="黑体" w:eastAsia="仿宋_GB2312"/>
                <w:bCs/>
                <w:color w:val="000000"/>
                <w:sz w:val="24"/>
                <w:szCs w:val="24"/>
                <w:lang w:val="en-US" w:eastAsia="zh-CN"/>
              </w:rPr>
              <w:t>该烧烤店油烟处理排放情况：经营过程中产生的油烟首先收集经过该烧烤店安装的油烟净化器（重庆科旭环保工程有限公司高压静电油烟净化器，型号为KXU-YJ-8A，产品执行标准HJ/T62-2001，配有合格证，达到GB-18843-2001《餐饮业油烟排放标准》的相关标准）处理后，再接入玺悦金熙酒店厨房专用烟道经过酒店设置的油烟净化器（华夏之星牌中型油烟净化器）处理，油烟经过二次处理后最终在商铺所在商业楼四楼楼顶排烟口排放。</w:t>
            </w:r>
          </w:p>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default" w:ascii="仿宋_GB2312" w:hAnsi="黑体" w:eastAsia="仿宋_GB2312"/>
                <w:bCs/>
                <w:color w:val="000000"/>
                <w:sz w:val="24"/>
                <w:szCs w:val="24"/>
                <w:lang w:val="en-US" w:eastAsia="zh-CN"/>
              </w:rPr>
            </w:pPr>
            <w:r>
              <w:rPr>
                <w:rFonts w:hint="eastAsia" w:ascii="仿宋_GB2312" w:hAnsi="黑体" w:eastAsia="仿宋_GB2312"/>
                <w:bCs/>
                <w:color w:val="000000"/>
                <w:sz w:val="24"/>
                <w:szCs w:val="24"/>
                <w:lang w:val="en-US" w:eastAsia="zh-CN"/>
              </w:rPr>
              <w:t>由于该烧烤店商铺位置低于周边住宅高度，加之2套油烟净化装置达不到100%油烟去除能力，仍然对周边居民存在一定影响。</w:t>
            </w:r>
          </w:p>
          <w:p>
            <w:pPr>
              <w:keepNext w:val="0"/>
              <w:keepLines w:val="0"/>
              <w:pageBreakBefore w:val="0"/>
              <w:kinsoku/>
              <w:overflowPunct/>
              <w:topLinePunct w:val="0"/>
              <w:autoSpaceDE w:val="0"/>
              <w:autoSpaceDN w:val="0"/>
              <w:bidi w:val="0"/>
              <w:adjustRightInd w:val="0"/>
              <w:snapToGrid/>
              <w:spacing w:line="280" w:lineRule="exact"/>
              <w:ind w:firstLine="480" w:firstLineChars="200"/>
              <w:jc w:val="lef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2032" w:type="dxa"/>
            <w:vAlign w:val="center"/>
          </w:tcPr>
          <w:p>
            <w:pPr>
              <w:keepNext w:val="0"/>
              <w:keepLines w:val="0"/>
              <w:pageBreakBefore w:val="0"/>
              <w:widowControl/>
              <w:kinsoku/>
              <w:overflowPunct/>
              <w:topLinePunct w:val="0"/>
              <w:bidi w:val="0"/>
              <w:snapToGrid/>
              <w:spacing w:line="28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办理情况</w:t>
            </w:r>
          </w:p>
        </w:tc>
        <w:tc>
          <w:tcPr>
            <w:tcW w:w="7648" w:type="dxa"/>
            <w:vAlign w:val="center"/>
          </w:tcPr>
          <w:p>
            <w:pPr>
              <w:keepNext w:val="0"/>
              <w:keepLines w:val="0"/>
              <w:pageBreakBefore w:val="0"/>
              <w:widowControl w:val="0"/>
              <w:kinsoku/>
              <w:wordWrap w:val="0"/>
              <w:overflowPunct/>
              <w:topLinePunct w:val="0"/>
              <w:autoSpaceDE w:val="0"/>
              <w:autoSpaceDN w:val="0"/>
              <w:bidi w:val="0"/>
              <w:adjustRightInd w:val="0"/>
              <w:snapToGrid/>
              <w:spacing w:line="280" w:lineRule="exact"/>
              <w:ind w:firstLine="480" w:firstLineChars="200"/>
              <w:textAlignment w:val="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针对该烧烤店油烟仍然对周边居民存在一定影响的问题，</w:t>
            </w:r>
            <w:r>
              <w:rPr>
                <w:rFonts w:hint="eastAsia" w:ascii="仿宋_GB2312" w:hAnsi="仿宋_GB2312" w:eastAsia="仿宋_GB2312" w:cs="仿宋_GB2312"/>
                <w:color w:val="000000"/>
                <w:sz w:val="24"/>
                <w:szCs w:val="24"/>
              </w:rPr>
              <w:t>做以下处理：</w:t>
            </w:r>
            <w:r>
              <w:rPr>
                <w:rFonts w:hint="eastAsia" w:ascii="仿宋_GB2312" w:hAnsi="仿宋_GB2312" w:eastAsia="仿宋_GB2312" w:cs="仿宋_GB2312"/>
                <w:color w:val="000000"/>
                <w:sz w:val="24"/>
                <w:szCs w:val="24"/>
                <w:lang w:eastAsia="zh-CN"/>
              </w:rPr>
              <w:t>市生态环境局呈贡分局</w:t>
            </w:r>
            <w:r>
              <w:rPr>
                <w:rFonts w:hint="eastAsia" w:ascii="仿宋_GB2312" w:hAnsi="黑体" w:eastAsia="仿宋_GB2312"/>
                <w:bCs/>
                <w:color w:val="000000"/>
                <w:sz w:val="24"/>
                <w:szCs w:val="24"/>
                <w:lang w:val="en-US" w:eastAsia="zh-CN"/>
              </w:rPr>
              <w:t>下达行政建议书要求昆明市呈贡区焱棠烧烤店立即对油烟净化器进行清洗，并建立清洗台账，定期清理</w:t>
            </w:r>
            <w:r>
              <w:rPr>
                <w:rFonts w:hint="eastAsia" w:ascii="仿宋_GB2312" w:hAnsi="仿宋_GB2312" w:eastAsia="仿宋_GB2312" w:cs="仿宋_GB2312"/>
                <w:color w:val="000000"/>
                <w:sz w:val="24"/>
                <w:szCs w:val="24"/>
              </w:rPr>
              <w:t>。</w:t>
            </w:r>
          </w:p>
          <w:p>
            <w:pPr>
              <w:keepNext w:val="0"/>
              <w:keepLines w:val="0"/>
              <w:pageBreakBefore w:val="0"/>
              <w:widowControl w:val="0"/>
              <w:kinsoku/>
              <w:wordWrap w:val="0"/>
              <w:overflowPunct/>
              <w:topLinePunct w:val="0"/>
              <w:autoSpaceDE w:val="0"/>
              <w:autoSpaceDN w:val="0"/>
              <w:bidi w:val="0"/>
              <w:adjustRightInd w:val="0"/>
              <w:snapToGrid/>
              <w:spacing w:line="280" w:lineRule="exact"/>
              <w:ind w:firstLine="480" w:firstLineChars="200"/>
              <w:textAlignment w:val="auto"/>
              <w:rPr>
                <w:sz w:val="24"/>
                <w:szCs w:val="20"/>
              </w:rPr>
            </w:pPr>
            <w:r>
              <w:rPr>
                <w:rFonts w:hint="eastAsia" w:ascii="仿宋_GB2312" w:hAnsi="仿宋_GB2312" w:eastAsia="仿宋_GB2312" w:cs="仿宋_GB2312"/>
                <w:color w:val="000000"/>
                <w:sz w:val="24"/>
                <w:szCs w:val="24"/>
              </w:rPr>
              <w:t>整改时限：立行立改</w:t>
            </w:r>
          </w:p>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仿宋_GB2312" w:hAnsi="黑体" w:eastAsia="仿宋_GB2312"/>
                <w:bCs/>
                <w:color w:val="000000"/>
                <w:sz w:val="24"/>
                <w:szCs w:val="24"/>
                <w:lang w:val="en-US" w:eastAsia="zh-CN"/>
              </w:rPr>
            </w:pPr>
            <w:r>
              <w:rPr>
                <w:rFonts w:hint="eastAsia" w:ascii="仿宋_GB2312" w:hAnsi="黑体" w:eastAsia="仿宋_GB2312"/>
                <w:bCs/>
                <w:color w:val="000000"/>
                <w:sz w:val="24"/>
                <w:szCs w:val="24"/>
                <w:lang w:val="en-US" w:eastAsia="zh-CN"/>
              </w:rPr>
              <w:t>2021年4月20日对昆明市呈贡区焱棠烧烤店进行现场复核，该店油烟净化器正常运行使用，近期已完成对油烟净化器的清洗工作，两台烤架油烟收集罩干净整洁，无油污附着；同时，该店建立了油烟净化器清洗台账记录，计划每月定期进行1次油烟净化器的清洗工作。</w:t>
            </w:r>
          </w:p>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default" w:eastAsia="仿宋_GB2312"/>
                <w:sz w:val="24"/>
                <w:szCs w:val="20"/>
                <w:lang w:val="en-US" w:eastAsia="zh-CN"/>
              </w:rPr>
            </w:pPr>
            <w:r>
              <w:rPr>
                <w:rFonts w:hint="eastAsia" w:ascii="仿宋_GB2312" w:hAnsi="黑体" w:eastAsia="仿宋_GB2312"/>
                <w:bCs/>
                <w:color w:val="000000"/>
                <w:sz w:val="24"/>
                <w:szCs w:val="24"/>
                <w:lang w:val="en-US" w:eastAsia="zh-CN"/>
              </w:rPr>
              <w:t>2021年4月21日夜间，再次对昆明市呈贡区焱棠烧烤店进行复核，该店油烟净化器正常运行使用，经营过程中产生的油烟先通过烧烤店安装的油烟净化器处理后，接入玺悦金熙酒店设置的专用烟道后再经玺悦金熙酒店安装的油烟净化器二次净化后在商业楼四楼顶部排烟口排放，排烟口处未闻见明显油烟味，未看见明显烟雾。</w:t>
            </w:r>
          </w:p>
          <w:p>
            <w:pPr>
              <w:keepNext w:val="0"/>
              <w:keepLines w:val="0"/>
              <w:pageBreakBefore w:val="0"/>
              <w:kinsoku/>
              <w:wordWrap w:val="0"/>
              <w:overflowPunct/>
              <w:topLinePunct w:val="0"/>
              <w:autoSpaceDE w:val="0"/>
              <w:autoSpaceDN w:val="0"/>
              <w:bidi w:val="0"/>
              <w:adjustRightInd w:val="0"/>
              <w:snapToGrid/>
              <w:spacing w:line="280" w:lineRule="exact"/>
              <w:ind w:firstLine="480" w:firstLineChars="200"/>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32" w:type="dxa"/>
            <w:vAlign w:val="center"/>
          </w:tcPr>
          <w:p>
            <w:pPr>
              <w:keepNext w:val="0"/>
              <w:keepLines w:val="0"/>
              <w:pageBreakBefore w:val="0"/>
              <w:widowControl/>
              <w:kinsoku/>
              <w:overflowPunct/>
              <w:topLinePunct w:val="0"/>
              <w:bidi w:val="0"/>
              <w:snapToGrid/>
              <w:spacing w:line="280" w:lineRule="exact"/>
              <w:jc w:val="center"/>
              <w:textAlignment w:val="auto"/>
              <w:rPr>
                <w:rFonts w:ascii="仿宋_GB2312" w:eastAsia="仿宋_GB2312"/>
                <w:sz w:val="24"/>
                <w:szCs w:val="24"/>
              </w:rPr>
            </w:pPr>
            <w:r>
              <w:rPr>
                <w:rFonts w:hint="eastAsia" w:ascii="仿宋_GB2312" w:eastAsia="仿宋_GB2312"/>
                <w:sz w:val="24"/>
                <w:szCs w:val="24"/>
                <w:lang w:eastAsia="zh-CN"/>
              </w:rPr>
              <w:t>办理单位</w:t>
            </w:r>
          </w:p>
        </w:tc>
        <w:tc>
          <w:tcPr>
            <w:tcW w:w="7648" w:type="dxa"/>
            <w:vAlign w:val="center"/>
          </w:tcPr>
          <w:p>
            <w:pPr>
              <w:keepNext w:val="0"/>
              <w:keepLines w:val="0"/>
              <w:pageBreakBefore w:val="0"/>
              <w:widowControl/>
              <w:kinsoku/>
              <w:overflowPunct/>
              <w:topLinePunct w:val="0"/>
              <w:bidi w:val="0"/>
              <w:snapToGrid/>
              <w:spacing w:line="28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呈贡区人民政府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2032" w:type="dxa"/>
            <w:vAlign w:val="center"/>
          </w:tcPr>
          <w:p>
            <w:pPr>
              <w:keepNext w:val="0"/>
              <w:keepLines w:val="0"/>
              <w:pageBreakBefore w:val="0"/>
              <w:widowControl/>
              <w:kinsoku/>
              <w:overflowPunct/>
              <w:topLinePunct w:val="0"/>
              <w:bidi w:val="0"/>
              <w:snapToGrid/>
              <w:spacing w:line="280" w:lineRule="exact"/>
              <w:jc w:val="center"/>
              <w:textAlignment w:val="auto"/>
              <w:rPr>
                <w:rFonts w:hint="eastAsia" w:ascii="仿宋_GB2312" w:eastAsia="仿宋_GB2312"/>
                <w:sz w:val="24"/>
                <w:szCs w:val="24"/>
              </w:rPr>
            </w:pPr>
            <w:r>
              <w:rPr>
                <w:rFonts w:hint="eastAsia" w:ascii="仿宋_GB2312" w:eastAsia="仿宋_GB2312"/>
                <w:sz w:val="24"/>
                <w:szCs w:val="24"/>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仿宋_GB2312" w:hAnsi="黑体" w:eastAsia="仿宋_GB2312"/>
                <w:bCs/>
                <w:color w:val="000000"/>
                <w:sz w:val="24"/>
                <w:szCs w:val="24"/>
                <w:lang w:val="en-US" w:eastAsia="zh-CN"/>
              </w:rPr>
            </w:pPr>
            <w:r>
              <w:rPr>
                <w:rFonts w:hint="eastAsia" w:ascii="仿宋_GB2312" w:hAnsi="黑体" w:eastAsia="仿宋_GB2312"/>
                <w:bCs/>
                <w:color w:val="000000"/>
                <w:sz w:val="24"/>
                <w:szCs w:val="24"/>
                <w:lang w:val="en-US" w:eastAsia="zh-CN"/>
              </w:rPr>
              <w:t>昆明市呈贡区焱棠烧烤店近期已完成对油烟净化器的清洗工作，两台烤架油烟收集罩干净整洁，无油污附着；同时，该店建立了油烟净化器清洗台账记录，计划每月定期进行1次油烟净化器的清洗工作。</w:t>
            </w:r>
          </w:p>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default" w:eastAsia="仿宋_GB2312"/>
                <w:sz w:val="24"/>
                <w:szCs w:val="20"/>
                <w:lang w:val="en-US" w:eastAsia="zh-CN"/>
              </w:rPr>
            </w:pPr>
            <w:r>
              <w:rPr>
                <w:rFonts w:hint="eastAsia" w:ascii="仿宋_GB2312" w:hAnsi="黑体" w:eastAsia="仿宋_GB2312"/>
                <w:bCs/>
                <w:color w:val="000000"/>
                <w:sz w:val="24"/>
                <w:szCs w:val="24"/>
                <w:lang w:val="en-US" w:eastAsia="zh-CN"/>
              </w:rPr>
              <w:t>在2021年4月21日夜间现场复核过程中，该店油烟净化器正常运行使用，经营过程中产生的油烟先通过烧烤店安装的油烟净化器处理后，接入玺悦金熙酒店设置的专用烟道后再经酒店安装的油烟净化器二次净化后在商业楼四楼顶部排烟口排放，排烟口处未闻见明显油烟味，未看见明显烟雾。</w:t>
            </w:r>
          </w:p>
          <w:p>
            <w:pPr>
              <w:keepNext w:val="0"/>
              <w:keepLines w:val="0"/>
              <w:pageBreakBefore w:val="0"/>
              <w:widowControl/>
              <w:kinsoku/>
              <w:overflowPunct/>
              <w:topLinePunct w:val="0"/>
              <w:bidi w:val="0"/>
              <w:snapToGrid/>
              <w:spacing w:line="280" w:lineRule="exact"/>
              <w:jc w:val="center"/>
              <w:textAlignment w:val="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032" w:type="dxa"/>
            <w:vAlign w:val="center"/>
          </w:tcPr>
          <w:p>
            <w:pPr>
              <w:keepNext w:val="0"/>
              <w:keepLines w:val="0"/>
              <w:pageBreakBefore w:val="0"/>
              <w:widowControl/>
              <w:kinsoku/>
              <w:overflowPunct/>
              <w:topLinePunct w:val="0"/>
              <w:bidi w:val="0"/>
              <w:snapToGrid/>
              <w:spacing w:line="280" w:lineRule="exact"/>
              <w:jc w:val="center"/>
              <w:textAlignment w:val="auto"/>
              <w:rPr>
                <w:rFonts w:ascii="仿宋_GB2312" w:eastAsia="仿宋_GB2312"/>
                <w:sz w:val="24"/>
                <w:szCs w:val="24"/>
              </w:rPr>
            </w:pPr>
            <w:r>
              <w:rPr>
                <w:rFonts w:hint="eastAsia" w:ascii="仿宋_GB2312" w:eastAsia="仿宋_GB2312"/>
                <w:sz w:val="24"/>
                <w:szCs w:val="24"/>
              </w:rPr>
              <w:t>公示说明</w:t>
            </w:r>
          </w:p>
        </w:tc>
        <w:tc>
          <w:tcPr>
            <w:tcW w:w="7648" w:type="dxa"/>
            <w:vAlign w:val="center"/>
          </w:tcPr>
          <w:p>
            <w:pPr>
              <w:keepNext w:val="0"/>
              <w:keepLines w:val="0"/>
              <w:pageBreakBefore w:val="0"/>
              <w:widowControl/>
              <w:kinsoku/>
              <w:overflowPunct/>
              <w:topLinePunct w:val="0"/>
              <w:bidi w:val="0"/>
              <w:snapToGrid/>
              <w:spacing w:line="2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rPr>
              <w:t>现将该</w:t>
            </w:r>
            <w:r>
              <w:rPr>
                <w:rFonts w:hint="eastAsia" w:ascii="仿宋_GB2312" w:eastAsia="仿宋_GB2312"/>
                <w:sz w:val="24"/>
                <w:szCs w:val="24"/>
                <w:lang w:eastAsia="zh-CN"/>
              </w:rPr>
              <w:t>投诉</w:t>
            </w:r>
            <w:r>
              <w:rPr>
                <w:rFonts w:hint="eastAsia" w:ascii="仿宋_GB2312" w:eastAsia="仿宋_GB2312"/>
                <w:sz w:val="24"/>
                <w:szCs w:val="24"/>
              </w:rPr>
              <w:t>问题</w:t>
            </w:r>
            <w:r>
              <w:rPr>
                <w:rFonts w:hint="eastAsia" w:ascii="仿宋_GB2312" w:eastAsia="仿宋_GB2312"/>
                <w:sz w:val="24"/>
                <w:szCs w:val="24"/>
                <w:lang w:eastAsia="zh-CN"/>
              </w:rPr>
              <w:t>办理</w:t>
            </w:r>
            <w:r>
              <w:rPr>
                <w:rFonts w:hint="eastAsia" w:ascii="仿宋_GB2312" w:eastAsia="仿宋_GB2312"/>
                <w:sz w:val="24"/>
                <w:szCs w:val="24"/>
              </w:rPr>
              <w:t>情况进行公示，如有意见建议，请反馈</w:t>
            </w:r>
            <w:r>
              <w:rPr>
                <w:rFonts w:hint="eastAsia" w:ascii="仿宋_GB2312" w:eastAsia="仿宋_GB2312"/>
                <w:sz w:val="24"/>
                <w:szCs w:val="24"/>
                <w:lang w:eastAsia="zh-CN"/>
              </w:rPr>
              <w:t>至昆明市生态环境局呈贡分局</w:t>
            </w:r>
            <w:r>
              <w:rPr>
                <w:rFonts w:hint="eastAsia" w:ascii="仿宋_GB2312" w:eastAsia="仿宋_GB2312"/>
                <w:sz w:val="24"/>
                <w:szCs w:val="24"/>
              </w:rPr>
              <w:t>。联系人员及电话：</w:t>
            </w:r>
            <w:r>
              <w:rPr>
                <w:rFonts w:hint="eastAsia" w:ascii="仿宋_GB2312" w:eastAsia="仿宋_GB2312"/>
                <w:sz w:val="24"/>
                <w:szCs w:val="24"/>
                <w:lang w:val="en-US" w:eastAsia="zh-CN"/>
              </w:rPr>
              <w:t xml:space="preserve">邵永强 </w:t>
            </w:r>
            <w:r>
              <w:rPr>
                <w:rFonts w:hint="eastAsia" w:ascii="仿宋_GB2312" w:eastAsia="仿宋_GB2312"/>
                <w:sz w:val="24"/>
                <w:szCs w:val="24"/>
              </w:rPr>
              <w:t>，</w:t>
            </w:r>
            <w:r>
              <w:rPr>
                <w:rFonts w:hint="eastAsia" w:ascii="仿宋_GB2312" w:eastAsia="仿宋_GB2312"/>
                <w:sz w:val="24"/>
                <w:szCs w:val="24"/>
                <w:lang w:val="en-US" w:eastAsia="zh-CN"/>
              </w:rPr>
              <w:t>0871-67494517。</w:t>
            </w:r>
          </w:p>
        </w:tc>
      </w:tr>
    </w:tbl>
    <w:p>
      <w:pPr>
        <w:widowControl/>
        <w:spacing w:line="560" w:lineRule="exact"/>
        <w:jc w:val="left"/>
        <w:rPr>
          <w:rFonts w:hint="eastAsia" w:ascii="仿宋_GB2312" w:eastAsia="仿宋_GB2312"/>
          <w:szCs w:val="32"/>
        </w:rPr>
      </w:pPr>
    </w:p>
    <w:sectPr>
      <w:pgSz w:w="11906" w:h="16838"/>
      <w:pgMar w:top="2098" w:right="1474" w:bottom="2098" w:left="1587" w:header="851" w:footer="992" w:gutter="0"/>
      <w:cols w:space="0" w:num="1"/>
      <w:rtlGutter w:val="0"/>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CE7B7B"/>
    <w:rsid w:val="084B3A07"/>
    <w:rsid w:val="0C003557"/>
    <w:rsid w:val="0CF810DA"/>
    <w:rsid w:val="105E10D2"/>
    <w:rsid w:val="11F24B43"/>
    <w:rsid w:val="180049F0"/>
    <w:rsid w:val="18EE21DD"/>
    <w:rsid w:val="1B245A5F"/>
    <w:rsid w:val="23D51BA4"/>
    <w:rsid w:val="274F3A60"/>
    <w:rsid w:val="2D71078D"/>
    <w:rsid w:val="2EF44E0A"/>
    <w:rsid w:val="35ED1851"/>
    <w:rsid w:val="36E5480E"/>
    <w:rsid w:val="3DE7112B"/>
    <w:rsid w:val="41333E9F"/>
    <w:rsid w:val="41EA3278"/>
    <w:rsid w:val="464F1A7D"/>
    <w:rsid w:val="46CE2E87"/>
    <w:rsid w:val="47F205C0"/>
    <w:rsid w:val="4A7A6223"/>
    <w:rsid w:val="4FD52D04"/>
    <w:rsid w:val="586E65D6"/>
    <w:rsid w:val="587D20F8"/>
    <w:rsid w:val="5B450A89"/>
    <w:rsid w:val="5E95350B"/>
    <w:rsid w:val="6420293C"/>
    <w:rsid w:val="69D77B90"/>
    <w:rsid w:val="70B91AA3"/>
    <w:rsid w:val="77891791"/>
    <w:rsid w:val="7C77078E"/>
    <w:rsid w:val="7C894072"/>
    <w:rsid w:val="7F08003C"/>
    <w:rsid w:val="7FCF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4</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梦璐</cp:lastModifiedBy>
  <dcterms:modified xsi:type="dcterms:W3CDTF">2021-04-24T03:11:57Z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63D76D8CE37247CE951B3018FA6A883B</vt:lpwstr>
  </property>
</Properties>
</file>