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68" w:rsidRDefault="000034FB">
      <w:pPr>
        <w:spacing w:line="600" w:lineRule="exact"/>
        <w:rPr>
          <w:rFonts w:ascii="黑体" w:eastAsia="黑体" w:hint="eastAsia"/>
          <w:szCs w:val="32"/>
        </w:rPr>
      </w:pPr>
      <w:bookmarkStart w:id="0" w:name="_GoBack"/>
      <w:bookmarkEnd w:id="0"/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3-2</w:t>
      </w:r>
      <w:r>
        <w:rPr>
          <w:rFonts w:ascii="黑体" w:eastAsia="黑体" w:hint="eastAsia"/>
          <w:szCs w:val="32"/>
        </w:rPr>
        <w:t>：</w:t>
      </w:r>
    </w:p>
    <w:p w:rsidR="00CB61B6" w:rsidRDefault="00CB61B6">
      <w:pPr>
        <w:spacing w:line="600" w:lineRule="exact"/>
        <w:rPr>
          <w:rFonts w:ascii="黑体" w:eastAsia="黑体"/>
          <w:szCs w:val="32"/>
        </w:rPr>
      </w:pPr>
    </w:p>
    <w:p w:rsidR="00CB61B6" w:rsidRDefault="00CB61B6" w:rsidP="00CB61B6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呈贡区残疾人联合会会2021年部门整体支出绩效评价</w:t>
      </w:r>
    </w:p>
    <w:p w:rsidR="00CB61B6" w:rsidRDefault="00CB61B6" w:rsidP="00CB61B6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报告</w:t>
      </w:r>
    </w:p>
    <w:p w:rsidR="00CB61B6" w:rsidRDefault="00CB61B6" w:rsidP="00CB61B6">
      <w:pPr>
        <w:spacing w:line="560" w:lineRule="exact"/>
        <w:ind w:firstLineChars="225" w:firstLine="668"/>
        <w:rPr>
          <w:rFonts w:ascii="仿宋_GB2312"/>
          <w:b/>
          <w:szCs w:val="32"/>
        </w:rPr>
      </w:pP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一、基本情况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（一）部门整体支出概况，年度部门决算收支完成情况，包括收入构成、支出构成、年初预算完成率、当年收支平衡和年终结转结余情况等。</w:t>
      </w:r>
    </w:p>
    <w:p w:rsidR="00F26D7B" w:rsidRDefault="00CB61B6" w:rsidP="00CB61B6">
      <w:pPr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2021年呈贡区残联收入合计8,373,963.29元，其中基本支出4,229,277.64元，项目支出4,144,685.65元。呈贡区残联收入为全额财政拨款，全年收支平衡，预算完成率100%，无年终结转结余情况。具体情况为：</w:t>
      </w:r>
    </w:p>
    <w:tbl>
      <w:tblPr>
        <w:tblW w:w="5000" w:type="pct"/>
        <w:tblLook w:val="04A0"/>
      </w:tblPr>
      <w:tblGrid>
        <w:gridCol w:w="737"/>
        <w:gridCol w:w="737"/>
        <w:gridCol w:w="736"/>
        <w:gridCol w:w="3296"/>
        <w:gridCol w:w="1508"/>
        <w:gridCol w:w="1508"/>
      </w:tblGrid>
      <w:tr w:rsidR="00F26D7B" w:rsidRPr="00F26D7B" w:rsidTr="00F26D7B">
        <w:trPr>
          <w:trHeight w:val="285"/>
        </w:trPr>
        <w:tc>
          <w:tcPr>
            <w:tcW w:w="323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    目</w:t>
            </w:r>
          </w:p>
        </w:tc>
        <w:tc>
          <w:tcPr>
            <w:tcW w:w="8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本年收入</w:t>
            </w:r>
          </w:p>
        </w:tc>
        <w:tc>
          <w:tcPr>
            <w:tcW w:w="8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本年支出</w:t>
            </w:r>
          </w:p>
        </w:tc>
      </w:tr>
      <w:tr w:rsidR="00F26D7B" w:rsidRPr="00F26D7B" w:rsidTr="00F26D7B">
        <w:trPr>
          <w:trHeight w:val="608"/>
        </w:trPr>
        <w:tc>
          <w:tcPr>
            <w:tcW w:w="1296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支出功能分类科目编码</w:t>
            </w:r>
          </w:p>
        </w:tc>
        <w:tc>
          <w:tcPr>
            <w:tcW w:w="193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8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6D7B" w:rsidRPr="00F26D7B" w:rsidTr="00F26D7B">
        <w:trPr>
          <w:trHeight w:val="608"/>
        </w:trPr>
        <w:tc>
          <w:tcPr>
            <w:tcW w:w="1296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6D7B" w:rsidRPr="00F26D7B" w:rsidTr="00F26D7B">
        <w:trPr>
          <w:trHeight w:val="608"/>
        </w:trPr>
        <w:tc>
          <w:tcPr>
            <w:tcW w:w="1296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6D7B" w:rsidRPr="00F26D7B" w:rsidTr="00F26D7B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26D7B" w:rsidRPr="00F26D7B" w:rsidTr="005738B7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5738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</w:t>
            </w: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  <w:r w:rsidR="005738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</w:t>
            </w: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963.29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5738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</w:t>
            </w: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  <w:r w:rsidR="005738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</w:t>
            </w: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963.29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2050803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培训支出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2,700.00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2,700.00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182,791.84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182,791.84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2081101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3,733,752.23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3,733,752.23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2081104</w:t>
            </w:r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残疾人康复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866,400.00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866,400.00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2081105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残疾人就业和扶贫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1,191,002.00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1,191,002.00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其他残疾人事业支出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1,520,097.96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1,520,097.96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行政单位医疗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100,853.57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100,853.57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207,500.00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207,500.00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购房补贴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1,680.00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1,680.00</w:t>
            </w:r>
          </w:p>
        </w:tc>
      </w:tr>
      <w:tr w:rsidR="00F26D7B" w:rsidRPr="00F26D7B" w:rsidTr="00F26D7B">
        <w:trPr>
          <w:trHeight w:val="285"/>
        </w:trPr>
        <w:tc>
          <w:tcPr>
            <w:tcW w:w="12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2296006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用于残疾人事业的彩票公益金支出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567,185.69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D7B" w:rsidRPr="00F26D7B" w:rsidRDefault="00F26D7B" w:rsidP="00F26D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6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567,185.69</w:t>
            </w:r>
          </w:p>
        </w:tc>
      </w:tr>
    </w:tbl>
    <w:p w:rsidR="00CB61B6" w:rsidRDefault="00CB61B6" w:rsidP="00CB61B6">
      <w:pPr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</w:p>
    <w:p w:rsidR="00CB61B6" w:rsidRDefault="00CB61B6" w:rsidP="00CB61B6">
      <w:pPr>
        <w:numPr>
          <w:ilvl w:val="0"/>
          <w:numId w:val="1"/>
        </w:numPr>
        <w:topLinePunct/>
        <w:spacing w:line="560" w:lineRule="exact"/>
        <w:ind w:firstLineChars="200" w:firstLine="59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部门整体支出绩效目标，主要包括区委、区政府或上级主管部门绩效考核的个性指标、预决算公开、存量资金管理、资产管理、三公经费控制、内部管理制度建设等的设定及完成情况，项目绩效总目标和阶段性目标完成情况及预期经济、社会效益等。</w:t>
      </w:r>
    </w:p>
    <w:p w:rsidR="00CB61B6" w:rsidRDefault="00CB61B6" w:rsidP="00CB61B6">
      <w:pPr>
        <w:spacing w:line="560" w:lineRule="exact"/>
        <w:ind w:firstLineChars="200" w:firstLine="593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呈贡区委区政府根据财政预算指标，向呈贡区残联下达</w:t>
      </w:r>
      <w:r w:rsidR="00FA1D2C">
        <w:rPr>
          <w:rFonts w:ascii="仿宋_GB2312" w:hAnsi="仿宋_GB2312" w:cs="仿宋_GB2312" w:hint="eastAsia"/>
          <w:kern w:val="0"/>
          <w:szCs w:val="32"/>
        </w:rPr>
        <w:t>2021</w:t>
      </w:r>
      <w:r>
        <w:rPr>
          <w:rFonts w:ascii="仿宋_GB2312" w:hAnsi="仿宋_GB2312" w:cs="仿宋_GB2312" w:hint="eastAsia"/>
          <w:kern w:val="0"/>
          <w:szCs w:val="32"/>
        </w:rPr>
        <w:t>年目标任务，呈贡区残联根据目标任务梳理出23项主要工作，确保工作指标明晰、落实到位。呈贡区残联严格按要求对财务相关信息进行及时有效公开，接受社会大众的监督。202</w:t>
      </w:r>
      <w:r w:rsidR="00360DA1">
        <w:rPr>
          <w:rFonts w:ascii="仿宋_GB2312" w:hAnsi="仿宋_GB2312" w:cs="仿宋_GB2312" w:hint="eastAsia"/>
          <w:kern w:val="0"/>
          <w:szCs w:val="32"/>
        </w:rPr>
        <w:t>1</w:t>
      </w:r>
      <w:r>
        <w:rPr>
          <w:rFonts w:ascii="仿宋_GB2312" w:hAnsi="仿宋_GB2312" w:cs="仿宋_GB2312" w:hint="eastAsia"/>
          <w:kern w:val="0"/>
          <w:szCs w:val="32"/>
        </w:rPr>
        <w:t>年</w:t>
      </w:r>
      <w:r w:rsidR="00FA1D2C">
        <w:rPr>
          <w:rFonts w:ascii="仿宋_GB2312" w:hAnsi="仿宋_GB2312" w:cs="仿宋_GB2312" w:hint="eastAsia"/>
          <w:kern w:val="0"/>
          <w:szCs w:val="32"/>
        </w:rPr>
        <w:t>2</w:t>
      </w:r>
      <w:r>
        <w:rPr>
          <w:rFonts w:ascii="仿宋_GB2312" w:hAnsi="仿宋_GB2312" w:cs="仿宋_GB2312" w:hint="eastAsia"/>
          <w:kern w:val="0"/>
          <w:szCs w:val="32"/>
        </w:rPr>
        <w:t>月</w:t>
      </w:r>
      <w:r w:rsidR="00360DA1">
        <w:rPr>
          <w:rFonts w:ascii="仿宋_GB2312" w:hAnsi="仿宋_GB2312" w:cs="仿宋_GB2312" w:hint="eastAsia"/>
          <w:kern w:val="0"/>
          <w:szCs w:val="32"/>
        </w:rPr>
        <w:t>1</w:t>
      </w:r>
      <w:r w:rsidR="00FA1D2C">
        <w:rPr>
          <w:rFonts w:ascii="仿宋_GB2312" w:hAnsi="仿宋_GB2312" w:cs="仿宋_GB2312" w:hint="eastAsia"/>
          <w:kern w:val="0"/>
          <w:szCs w:val="32"/>
        </w:rPr>
        <w:t>8</w:t>
      </w:r>
      <w:r>
        <w:rPr>
          <w:rFonts w:ascii="仿宋_GB2312" w:hAnsi="仿宋_GB2312" w:cs="仿宋_GB2312" w:hint="eastAsia"/>
          <w:kern w:val="0"/>
          <w:szCs w:val="32"/>
        </w:rPr>
        <w:t>日，呈贡区残联严格按照区财政局的相关要求，将</w:t>
      </w:r>
      <w:r w:rsidR="00FA1D2C">
        <w:rPr>
          <w:rFonts w:ascii="仿宋_GB2312" w:hAnsi="仿宋_GB2312" w:cs="仿宋_GB2312" w:hint="eastAsia"/>
          <w:kern w:val="0"/>
          <w:szCs w:val="32"/>
        </w:rPr>
        <w:t>2021</w:t>
      </w:r>
      <w:r>
        <w:rPr>
          <w:rFonts w:ascii="仿宋_GB2312" w:hAnsi="仿宋_GB2312" w:cs="仿宋_GB2312" w:hint="eastAsia"/>
          <w:kern w:val="0"/>
          <w:szCs w:val="32"/>
        </w:rPr>
        <w:t>年预算在省财政厅网站及中国呈贡政府信息网进行公开；</w:t>
      </w:r>
      <w:r w:rsidR="00FA1D2C">
        <w:rPr>
          <w:rFonts w:ascii="仿宋_GB2312" w:hAnsi="仿宋_GB2312" w:cs="仿宋_GB2312" w:hint="eastAsia"/>
          <w:kern w:val="0"/>
          <w:szCs w:val="32"/>
        </w:rPr>
        <w:t>2021</w:t>
      </w:r>
      <w:r>
        <w:rPr>
          <w:rFonts w:ascii="仿宋_GB2312" w:hAnsi="仿宋_GB2312" w:cs="仿宋_GB2312" w:hint="eastAsia"/>
          <w:kern w:val="0"/>
          <w:szCs w:val="32"/>
        </w:rPr>
        <w:t>年</w:t>
      </w:r>
      <w:r w:rsidR="00360DA1">
        <w:rPr>
          <w:rFonts w:ascii="仿宋_GB2312" w:hAnsi="仿宋_GB2312" w:cs="仿宋_GB2312" w:hint="eastAsia"/>
          <w:kern w:val="0"/>
          <w:szCs w:val="32"/>
        </w:rPr>
        <w:t>9</w:t>
      </w:r>
      <w:r>
        <w:rPr>
          <w:rFonts w:ascii="仿宋_GB2312" w:hAnsi="仿宋_GB2312" w:cs="仿宋_GB2312" w:hint="eastAsia"/>
          <w:kern w:val="0"/>
          <w:szCs w:val="32"/>
        </w:rPr>
        <w:t>月</w:t>
      </w:r>
      <w:r w:rsidR="00360DA1">
        <w:rPr>
          <w:rFonts w:ascii="仿宋_GB2312" w:hAnsi="仿宋_GB2312" w:cs="仿宋_GB2312" w:hint="eastAsia"/>
          <w:kern w:val="0"/>
          <w:szCs w:val="32"/>
        </w:rPr>
        <w:t>04</w:t>
      </w:r>
      <w:r>
        <w:rPr>
          <w:rFonts w:ascii="仿宋_GB2312" w:hAnsi="仿宋_GB2312" w:cs="仿宋_GB2312" w:hint="eastAsia"/>
          <w:kern w:val="0"/>
          <w:szCs w:val="32"/>
        </w:rPr>
        <w:t>日，将</w:t>
      </w:r>
      <w:r w:rsidR="00FA1D2C">
        <w:rPr>
          <w:rFonts w:ascii="仿宋_GB2312" w:hAnsi="仿宋_GB2312" w:cs="仿宋_GB2312" w:hint="eastAsia"/>
          <w:kern w:val="0"/>
          <w:szCs w:val="32"/>
        </w:rPr>
        <w:t>202</w:t>
      </w:r>
      <w:r w:rsidR="00360DA1">
        <w:rPr>
          <w:rFonts w:ascii="仿宋_GB2312" w:hAnsi="仿宋_GB2312" w:cs="仿宋_GB2312" w:hint="eastAsia"/>
          <w:kern w:val="0"/>
          <w:szCs w:val="32"/>
        </w:rPr>
        <w:t>0</w:t>
      </w:r>
      <w:r>
        <w:rPr>
          <w:rFonts w:ascii="仿宋_GB2312" w:hAnsi="仿宋_GB2312" w:cs="仿宋_GB2312" w:hint="eastAsia"/>
          <w:kern w:val="0"/>
          <w:szCs w:val="32"/>
        </w:rPr>
        <w:t>年预算绩效再中国呈贡政府信息网进行公开；</w:t>
      </w:r>
      <w:r w:rsidR="00FA1D2C">
        <w:rPr>
          <w:rFonts w:ascii="仿宋_GB2312" w:hAnsi="仿宋_GB2312" w:cs="仿宋_GB2312" w:hint="eastAsia"/>
          <w:kern w:val="0"/>
          <w:szCs w:val="32"/>
        </w:rPr>
        <w:t>202</w:t>
      </w:r>
      <w:r w:rsidR="00360DA1">
        <w:rPr>
          <w:rFonts w:ascii="仿宋_GB2312" w:hAnsi="仿宋_GB2312" w:cs="仿宋_GB2312" w:hint="eastAsia"/>
          <w:kern w:val="0"/>
          <w:szCs w:val="32"/>
        </w:rPr>
        <w:t>1</w:t>
      </w:r>
      <w:r>
        <w:rPr>
          <w:rFonts w:ascii="仿宋_GB2312" w:hAnsi="仿宋_GB2312" w:cs="仿宋_GB2312" w:hint="eastAsia"/>
          <w:kern w:val="0"/>
          <w:szCs w:val="32"/>
        </w:rPr>
        <w:t>年</w:t>
      </w:r>
      <w:r w:rsidR="00360DA1">
        <w:rPr>
          <w:rFonts w:ascii="仿宋_GB2312" w:hAnsi="仿宋_GB2312" w:cs="仿宋_GB2312" w:hint="eastAsia"/>
          <w:kern w:val="0"/>
          <w:szCs w:val="32"/>
        </w:rPr>
        <w:t>10</w:t>
      </w:r>
      <w:r>
        <w:rPr>
          <w:rFonts w:ascii="仿宋_GB2312" w:hAnsi="仿宋_GB2312" w:cs="仿宋_GB2312" w:hint="eastAsia"/>
          <w:kern w:val="0"/>
          <w:szCs w:val="32"/>
        </w:rPr>
        <w:t>月18日，将</w:t>
      </w:r>
      <w:r w:rsidR="00FA1D2C">
        <w:rPr>
          <w:rFonts w:ascii="仿宋_GB2312" w:hAnsi="仿宋_GB2312" w:cs="仿宋_GB2312" w:hint="eastAsia"/>
          <w:kern w:val="0"/>
          <w:szCs w:val="32"/>
        </w:rPr>
        <w:t>2021</w:t>
      </w:r>
      <w:r>
        <w:rPr>
          <w:rFonts w:ascii="仿宋_GB2312" w:hAnsi="仿宋_GB2312" w:cs="仿宋_GB2312" w:hint="eastAsia"/>
          <w:kern w:val="0"/>
          <w:szCs w:val="32"/>
        </w:rPr>
        <w:t>年决算在省财政厅网站及中国呈贡</w:t>
      </w:r>
      <w:r>
        <w:rPr>
          <w:rFonts w:ascii="仿宋_GB2312" w:hAnsi="仿宋_GB2312" w:cs="仿宋_GB2312" w:hint="eastAsia"/>
          <w:kern w:val="0"/>
          <w:szCs w:val="32"/>
        </w:rPr>
        <w:lastRenderedPageBreak/>
        <w:t>政府信息网进行公开，并向财政局对口业务科室报送公开相关材料。通过相关财政信息公开，有效接受社会大众的监督,维护大众知情权。</w:t>
      </w:r>
      <w:r w:rsidR="00FA1D2C">
        <w:rPr>
          <w:rFonts w:ascii="仿宋_GB2312" w:hAnsi="仿宋_GB2312" w:cs="仿宋_GB2312" w:hint="eastAsia"/>
          <w:kern w:val="0"/>
          <w:szCs w:val="32"/>
        </w:rPr>
        <w:t>2021</w:t>
      </w:r>
      <w:r>
        <w:rPr>
          <w:rFonts w:ascii="仿宋_GB2312" w:hAnsi="仿宋_GB2312" w:cs="仿宋_GB2312" w:hint="eastAsia"/>
          <w:kern w:val="0"/>
          <w:szCs w:val="32"/>
        </w:rPr>
        <w:t>年呈贡区残联部门“三公”经费预算</w:t>
      </w:r>
      <w:r w:rsidR="00360DA1">
        <w:rPr>
          <w:rFonts w:ascii="仿宋_GB2312" w:hAnsi="仿宋_GB2312" w:cs="仿宋_GB2312" w:hint="eastAsia"/>
          <w:kern w:val="0"/>
          <w:szCs w:val="32"/>
        </w:rPr>
        <w:t>29420元，比上年增长5420元</w:t>
      </w:r>
      <w:r>
        <w:rPr>
          <w:rFonts w:ascii="仿宋_GB2312" w:hAnsi="仿宋_GB2312" w:cs="仿宋_GB2312" w:hint="eastAsia"/>
          <w:kern w:val="0"/>
          <w:szCs w:val="32"/>
        </w:rPr>
        <w:t>。残联按照要求做好资产管理工作，截止</w:t>
      </w:r>
      <w:r w:rsidR="00360DA1">
        <w:rPr>
          <w:rFonts w:ascii="仿宋_GB2312" w:hAnsi="仿宋_GB2312" w:cs="仿宋_GB2312" w:hint="eastAsia"/>
          <w:kern w:val="0"/>
          <w:szCs w:val="32"/>
        </w:rPr>
        <w:t>2021</w:t>
      </w:r>
      <w:r>
        <w:rPr>
          <w:rFonts w:ascii="仿宋_GB2312" w:hAnsi="仿宋_GB2312" w:cs="仿宋_GB2312" w:hint="eastAsia"/>
          <w:kern w:val="0"/>
          <w:szCs w:val="32"/>
        </w:rPr>
        <w:t>年12月31日，呈贡区残联共有固定资产原值2,636,676.08 元，无形资产原值104000元。</w:t>
      </w:r>
      <w:r w:rsidR="00360DA1">
        <w:rPr>
          <w:rFonts w:ascii="仿宋_GB2312" w:hAnsi="仿宋_GB2312" w:cs="仿宋_GB2312" w:hint="eastAsia"/>
          <w:kern w:val="0"/>
          <w:szCs w:val="32"/>
        </w:rPr>
        <w:t>2021</w:t>
      </w:r>
      <w:r>
        <w:rPr>
          <w:rFonts w:ascii="仿宋_GB2312" w:hAnsi="仿宋_GB2312" w:cs="仿宋_GB2312" w:hint="eastAsia"/>
          <w:kern w:val="0"/>
          <w:szCs w:val="32"/>
        </w:rPr>
        <w:t>年呈贡区残联开展康复、救助、助学、职业培训、创业扶持、社会保障、宣传文体等项目共计23项，使全区残疾人受益2000余人次，各项目工作全部按期完成，均达到预期绩效指标，残疾人服务满意率达到85%以上。</w:t>
      </w:r>
    </w:p>
    <w:p w:rsidR="00CB61B6" w:rsidRDefault="00CB61B6" w:rsidP="00CB61B6">
      <w:pPr>
        <w:numPr>
          <w:ilvl w:val="0"/>
          <w:numId w:val="1"/>
        </w:numPr>
        <w:topLinePunct/>
        <w:spacing w:line="560" w:lineRule="exact"/>
        <w:ind w:firstLineChars="200" w:firstLine="59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部门整体支出或项目实施情况分析，主要包括资金到位、资金使用、资金管理、项目组织和项目管理情况分析等。</w:t>
      </w:r>
    </w:p>
    <w:p w:rsidR="00CB61B6" w:rsidRDefault="00360DA1" w:rsidP="00CB61B6">
      <w:pPr>
        <w:spacing w:line="560" w:lineRule="exact"/>
        <w:ind w:firstLineChars="200" w:firstLine="593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2021</w:t>
      </w:r>
      <w:r w:rsidR="00CB61B6">
        <w:rPr>
          <w:rFonts w:ascii="仿宋_GB2312" w:hAnsi="仿宋_GB2312" w:cs="仿宋_GB2312" w:hint="eastAsia"/>
          <w:kern w:val="0"/>
          <w:szCs w:val="32"/>
        </w:rPr>
        <w:t>年直接拨付街道的相关费用，根据财政要求，与区财政联合会发文，直接将区残联有关项目资金额度划转街道完成；属于残疾人补贴的由区残联直接转拨街道，各街道根据自身工作要求及工作安排发放至残疾人，发放完毕后，街道社区提交残疾人签领复印件作为备查档案。属于与相关机构直接结算的，区残联根据相关文件要求，机构出具相应发票提供相应材料进行资金核算及拨付。</w:t>
      </w:r>
    </w:p>
    <w:p w:rsidR="00CB61B6" w:rsidRDefault="00CB61B6" w:rsidP="00CB61B6">
      <w:pPr>
        <w:spacing w:line="560" w:lineRule="exact"/>
        <w:ind w:firstLineChars="200" w:firstLine="593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相关省市资金使用情况均严格按照市残联要求进行材料报送，并接受上级对儿童康复等项目资金延伸审计及资金绩效评价，有效提高残疾人资金使用效益，进一步确保残疾人资金使用合规、合法、合理。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同时，呈贡区残联严格按照《呈贡区残联下拨资金和实物管</w:t>
      </w:r>
      <w:r>
        <w:rPr>
          <w:rFonts w:ascii="仿宋_GB2312" w:hAnsi="仿宋_GB2312" w:cs="仿宋_GB2312" w:hint="eastAsia"/>
          <w:kern w:val="0"/>
          <w:szCs w:val="32"/>
        </w:rPr>
        <w:lastRenderedPageBreak/>
        <w:t>理办法》、《呈贡区残联资金及设备使用情况监督检查制度》要求，将资金和实物检查形成常态工作，</w:t>
      </w:r>
      <w:r w:rsidR="00360DA1">
        <w:rPr>
          <w:rFonts w:ascii="仿宋_GB2312" w:hAnsi="仿宋_GB2312" w:cs="仿宋_GB2312" w:hint="eastAsia"/>
          <w:kern w:val="0"/>
          <w:szCs w:val="32"/>
        </w:rPr>
        <w:t>2021</w:t>
      </w:r>
      <w:r>
        <w:rPr>
          <w:rFonts w:ascii="仿宋_GB2312" w:hAnsi="仿宋_GB2312" w:cs="仿宋_GB2312" w:hint="eastAsia"/>
          <w:kern w:val="0"/>
          <w:szCs w:val="32"/>
        </w:rPr>
        <w:t>年呈贡区残联采取随机抽取的形式，采用电话抽查、实地抽查等方式抽查下拨残疾人资金和实物发放情况，抽查中未发现相关问题，未接到残疾人反应相关问题。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二、绩效评价工作情况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（一）绩效评价目的。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根据区委目督办、区政府目督办、区财政局关于加强各单位预算绩效管理相关工作的要求，</w:t>
      </w:r>
      <w:r>
        <w:rPr>
          <w:rFonts w:ascii="仿宋_GB2312" w:hAnsi="仿宋" w:cs="Times New Roman" w:hint="eastAsia"/>
          <w:szCs w:val="32"/>
        </w:rPr>
        <w:t>开展好部门绩效评价工作，推进财政资金科学化、精细化、规范化管理，提高财政资金使用绩效，</w:t>
      </w:r>
      <w:r>
        <w:rPr>
          <w:rFonts w:ascii="仿宋_GB2312" w:hAnsi="仿宋" w:hint="eastAsia"/>
          <w:szCs w:val="32"/>
        </w:rPr>
        <w:t>推进残疾人事业更好更快发展，对</w:t>
      </w:r>
      <w:r w:rsidR="00360DA1">
        <w:rPr>
          <w:rFonts w:ascii="仿宋_GB2312" w:hAnsi="仿宋" w:hint="eastAsia"/>
          <w:szCs w:val="32"/>
        </w:rPr>
        <w:t>2021</w:t>
      </w:r>
      <w:r>
        <w:rPr>
          <w:rFonts w:ascii="仿宋_GB2312" w:hAnsi="仿宋" w:hint="eastAsia"/>
          <w:szCs w:val="32"/>
        </w:rPr>
        <w:t>年各项残疾人工作开展绩效评价工作，发现工作中的问题，促进残疾人工作项目落实。</w:t>
      </w:r>
    </w:p>
    <w:p w:rsidR="00CB61B6" w:rsidRDefault="00CB61B6" w:rsidP="00CB61B6">
      <w:pPr>
        <w:numPr>
          <w:ilvl w:val="0"/>
          <w:numId w:val="2"/>
        </w:numPr>
        <w:topLinePunct/>
        <w:spacing w:line="560" w:lineRule="exact"/>
        <w:ind w:firstLineChars="202" w:firstLine="599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绩效评价工作过程，主要包括前期准备、组织实施和分析评价等内容。</w:t>
      </w:r>
    </w:p>
    <w:p w:rsidR="00CB61B6" w:rsidRDefault="00360DA1" w:rsidP="00CB61B6">
      <w:pPr>
        <w:topLinePunct/>
        <w:spacing w:line="560" w:lineRule="exact"/>
        <w:ind w:firstLineChars="200" w:firstLine="593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2021</w:t>
      </w:r>
      <w:r w:rsidR="00CB61B6">
        <w:rPr>
          <w:rFonts w:ascii="仿宋_GB2312" w:hAnsi="仿宋" w:hint="eastAsia"/>
          <w:kern w:val="0"/>
          <w:szCs w:val="32"/>
        </w:rPr>
        <w:t>年</w:t>
      </w:r>
      <w:r w:rsidR="00CB61B6">
        <w:rPr>
          <w:rFonts w:ascii="仿宋_GB2312" w:hAnsi="仿宋" w:cs="Times New Roman" w:hint="eastAsia"/>
          <w:kern w:val="0"/>
          <w:szCs w:val="32"/>
        </w:rPr>
        <w:t>呈贡区残联成立了以理事长为组长，副理事长为副组长，各科室负责人及财务人员为成员的预算绩效管理工作领导小组，由办公室牵头实施预算绩效管理工作，各相关科室密切配合，确保部门绩效评价工作顺利推进。</w:t>
      </w:r>
      <w:r>
        <w:rPr>
          <w:rFonts w:ascii="仿宋_GB2312" w:hAnsi="仿宋" w:cs="Times New Roman" w:hint="eastAsia"/>
          <w:kern w:val="0"/>
          <w:szCs w:val="32"/>
        </w:rPr>
        <w:t>2021</w:t>
      </w:r>
      <w:r w:rsidR="00CB61B6">
        <w:rPr>
          <w:rFonts w:ascii="仿宋_GB2312" w:hAnsi="仿宋" w:cs="Times New Roman" w:hint="eastAsia"/>
          <w:kern w:val="0"/>
          <w:szCs w:val="32"/>
        </w:rPr>
        <w:t>年，区残联召开3次专题会议对区残联预算申报、预算执行进度、资金专项检查等进行专题研究，确保残疾人资金严格按相关规定支出，同时加强资金绩效监管，确保资金用活、用好、符合规定。在研究过程中，领导小组及时处置工作中存在的问题，不断完善单位绩效评价工作。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三、主要绩效及评价结论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lastRenderedPageBreak/>
        <w:t>1.经济性分析，主要包括成本（预算）控制情况和成本（预算）节约情况。</w:t>
      </w:r>
    </w:p>
    <w:p w:rsidR="00CB61B6" w:rsidRDefault="00CB61B6" w:rsidP="00CB61B6">
      <w:pPr>
        <w:spacing w:line="560" w:lineRule="exact"/>
        <w:ind w:firstLineChars="200" w:firstLine="593"/>
        <w:rPr>
          <w:rFonts w:ascii="仿宋_GB2312" w:hAnsi="仿宋" w:cs="Times New Roman"/>
          <w:color w:val="70AD47" w:themeColor="accent6"/>
          <w:szCs w:val="32"/>
        </w:rPr>
      </w:pPr>
      <w:r>
        <w:rPr>
          <w:rFonts w:ascii="仿宋_GB2312" w:hAnsi="仿宋_GB2312" w:cs="仿宋_GB2312" w:hint="eastAsia"/>
          <w:szCs w:val="32"/>
        </w:rPr>
        <w:t>20</w:t>
      </w:r>
      <w:r w:rsidR="00360DA1">
        <w:rPr>
          <w:rFonts w:ascii="仿宋_GB2312" w:hAnsi="仿宋_GB2312" w:cs="仿宋_GB2312" w:hint="eastAsia"/>
          <w:szCs w:val="32"/>
        </w:rPr>
        <w:t>21</w:t>
      </w:r>
      <w:r>
        <w:rPr>
          <w:rFonts w:ascii="仿宋_GB2312" w:hAnsi="仿宋_GB2312" w:cs="仿宋_GB2312" w:hint="eastAsia"/>
          <w:szCs w:val="32"/>
        </w:rPr>
        <w:t>年呈贡区残联收入合计</w:t>
      </w:r>
      <w:r w:rsidR="00360DA1">
        <w:rPr>
          <w:rFonts w:ascii="仿宋_GB2312" w:hAnsi="仿宋" w:cs="Times New Roman" w:hint="eastAsia"/>
          <w:szCs w:val="32"/>
        </w:rPr>
        <w:t>8,373,963.29</w:t>
      </w:r>
      <w:r>
        <w:rPr>
          <w:rFonts w:ascii="仿宋_GB2312" w:hAnsi="仿宋_GB2312" w:cs="仿宋_GB2312" w:hint="eastAsia"/>
          <w:szCs w:val="32"/>
        </w:rPr>
        <w:t>元，其中基本支出</w:t>
      </w:r>
      <w:r w:rsidR="00360DA1">
        <w:rPr>
          <w:rFonts w:ascii="仿宋_GB2312" w:hAnsi="仿宋" w:cs="Times New Roman" w:hint="eastAsia"/>
          <w:szCs w:val="32"/>
        </w:rPr>
        <w:t>4,229,277.64</w:t>
      </w:r>
      <w:r>
        <w:rPr>
          <w:rFonts w:ascii="仿宋_GB2312" w:hAnsi="仿宋_GB2312" w:cs="仿宋_GB2312" w:hint="eastAsia"/>
          <w:szCs w:val="32"/>
        </w:rPr>
        <w:t>元，项目支出</w:t>
      </w:r>
      <w:r w:rsidR="00360DA1">
        <w:rPr>
          <w:rFonts w:ascii="仿宋_GB2312" w:hAnsi="仿宋" w:cs="Times New Roman" w:hint="eastAsia"/>
          <w:szCs w:val="32"/>
        </w:rPr>
        <w:t>4,144,685.65</w:t>
      </w:r>
      <w:r>
        <w:rPr>
          <w:rFonts w:ascii="仿宋_GB2312" w:hAnsi="仿宋_GB2312" w:cs="仿宋_GB2312" w:hint="eastAsia"/>
          <w:szCs w:val="32"/>
        </w:rPr>
        <w:t>元。全部资金支出均按照项目工作要求进行支出，全面完成项目工作预算。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2.效率性分析，主要包括实施进度和完成质量。</w:t>
      </w:r>
    </w:p>
    <w:p w:rsidR="00CB61B6" w:rsidRDefault="00360DA1" w:rsidP="00CB61B6">
      <w:pPr>
        <w:topLinePunct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kern w:val="0"/>
          <w:szCs w:val="32"/>
        </w:rPr>
        <w:t>2021</w:t>
      </w:r>
      <w:r w:rsidR="00CB61B6">
        <w:rPr>
          <w:rFonts w:ascii="仿宋_GB2312" w:hint="eastAsia"/>
          <w:kern w:val="0"/>
          <w:szCs w:val="32"/>
        </w:rPr>
        <w:t>年呈贡区各项残疾人事业各项目均按期推进，资金支出整体速度较慢，主要原因是部分项目因项目本身的时间特殊性导致项目支出较后：如托养、康复项目期间较长，项目初期中期支出较少，项目完成后才会全面结算，导致资金支出进度呈现滞后状态。但所有项目均按照绩效要求及有关文件要求按时按质完成。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3.效益性分析，主要包括预期目标完成程度和对经济和社会的影响等。</w:t>
      </w:r>
    </w:p>
    <w:p w:rsidR="00CB61B6" w:rsidRDefault="00360DA1" w:rsidP="00CB61B6">
      <w:pPr>
        <w:topLinePunct/>
        <w:spacing w:line="560" w:lineRule="exact"/>
        <w:ind w:firstLineChars="200" w:firstLine="609"/>
        <w:rPr>
          <w:rFonts w:ascii="仿宋_GB2312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spacing w:val="4"/>
          <w:kern w:val="0"/>
          <w:szCs w:val="32"/>
        </w:rPr>
        <w:t>2021</w:t>
      </w:r>
      <w:r w:rsidR="00CB61B6">
        <w:rPr>
          <w:rFonts w:ascii="仿宋_GB2312" w:hAnsi="仿宋_GB2312" w:cs="仿宋_GB2312" w:hint="eastAsia"/>
          <w:color w:val="0D0D0D"/>
          <w:spacing w:val="4"/>
          <w:kern w:val="0"/>
          <w:szCs w:val="32"/>
        </w:rPr>
        <w:t>年呈贡区残联在区委、区政府的领导下，在区属各有关部门的关心支持下，立足全区实际，砥砺奋进，开拓创新，不断提高为残疾人服务的能力和水平，顺利完成各项工作目标，使2000余人次残疾人受益，各项项目工作均未收到残疾人投诉，达到残疾人满意率85%以上目标。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四、存在的问题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黑体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通过开展</w:t>
      </w:r>
      <w:r w:rsidR="00360DA1">
        <w:rPr>
          <w:rFonts w:ascii="仿宋_GB2312" w:hAnsi="仿宋" w:hint="eastAsia"/>
          <w:kern w:val="0"/>
          <w:szCs w:val="32"/>
        </w:rPr>
        <w:t>2021</w:t>
      </w:r>
      <w:r>
        <w:rPr>
          <w:rFonts w:ascii="仿宋_GB2312" w:hAnsi="仿宋" w:hint="eastAsia"/>
          <w:kern w:val="0"/>
          <w:szCs w:val="32"/>
        </w:rPr>
        <w:t>年绩效评价工作，发现存在以下问题：1.项目执行科室对绩效评价工作重视不够，自身绩效评价不准确；2.项目执行科室与市级有关业务处室对接不够，导致上级拨付项目资金绩效使用率不高。</w:t>
      </w:r>
    </w:p>
    <w:p w:rsidR="00CB61B6" w:rsidRDefault="00CB61B6" w:rsidP="00CB61B6">
      <w:pPr>
        <w:numPr>
          <w:ilvl w:val="0"/>
          <w:numId w:val="3"/>
        </w:num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有关建议</w:t>
      </w:r>
    </w:p>
    <w:p w:rsidR="00CB61B6" w:rsidRDefault="00CB61B6" w:rsidP="00CB61B6">
      <w:pPr>
        <w:topLinePunct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加强绩效评价工作重视程度，提高业务科室绩效评价能力，促进项目执行科室对绩效评价结果的运用能力。</w:t>
      </w:r>
    </w:p>
    <w:p w:rsidR="00CB61B6" w:rsidRDefault="00CB61B6" w:rsidP="00CB61B6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六、其他需要说明的问题</w:t>
      </w:r>
    </w:p>
    <w:p w:rsidR="00CB61B6" w:rsidRDefault="00CB61B6" w:rsidP="00CB61B6">
      <w:pPr>
        <w:topLinePunct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无。</w:t>
      </w:r>
    </w:p>
    <w:p w:rsidR="00CB61B6" w:rsidRDefault="00CB61B6" w:rsidP="00CB61B6">
      <w:pPr>
        <w:topLinePunct/>
        <w:spacing w:line="560" w:lineRule="exact"/>
        <w:rPr>
          <w:rFonts w:ascii="仿宋_GB2312" w:hAnsi="仿宋_GB2312" w:cs="仿宋_GB2312"/>
          <w:szCs w:val="32"/>
        </w:rPr>
      </w:pPr>
    </w:p>
    <w:p w:rsidR="00CB61B6" w:rsidRDefault="00CB61B6" w:rsidP="00CB61B6">
      <w:pPr>
        <w:topLinePunct/>
        <w:spacing w:line="560" w:lineRule="exact"/>
        <w:jc w:val="right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昆明市呈贡区残疾人联合会</w:t>
      </w:r>
    </w:p>
    <w:p w:rsidR="00110668" w:rsidRDefault="00CB61B6" w:rsidP="00CB61B6">
      <w:pPr>
        <w:spacing w:line="600" w:lineRule="exact"/>
        <w:rPr>
          <w:rFonts w:ascii="黑体" w:eastAsia="黑体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        </w:t>
      </w:r>
      <w:r w:rsidR="00360DA1">
        <w:rPr>
          <w:rFonts w:ascii="仿宋_GB2312" w:hAnsi="仿宋_GB2312" w:cs="仿宋_GB2312" w:hint="eastAsia"/>
          <w:kern w:val="0"/>
          <w:szCs w:val="32"/>
        </w:rPr>
        <w:t xml:space="preserve">                            2022</w:t>
      </w:r>
      <w:r>
        <w:rPr>
          <w:rFonts w:ascii="仿宋_GB2312" w:hAnsi="仿宋_GB2312" w:cs="仿宋_GB2312" w:hint="eastAsia"/>
          <w:kern w:val="0"/>
          <w:szCs w:val="32"/>
        </w:rPr>
        <w:t>年3月</w:t>
      </w:r>
      <w:r w:rsidR="00360DA1">
        <w:rPr>
          <w:rFonts w:ascii="仿宋_GB2312" w:hAnsi="仿宋_GB2312" w:cs="仿宋_GB2312" w:hint="eastAsia"/>
          <w:kern w:val="0"/>
          <w:szCs w:val="32"/>
        </w:rPr>
        <w:t>21</w:t>
      </w:r>
      <w:r>
        <w:rPr>
          <w:rFonts w:ascii="仿宋_GB2312" w:hAnsi="仿宋_GB2312" w:cs="仿宋_GB2312" w:hint="eastAsia"/>
          <w:kern w:val="0"/>
          <w:szCs w:val="32"/>
        </w:rPr>
        <w:t>日</w:t>
      </w:r>
    </w:p>
    <w:sectPr w:rsidR="00110668" w:rsidSect="00110668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FB" w:rsidRDefault="000034FB" w:rsidP="00CB61B6">
      <w:r>
        <w:separator/>
      </w:r>
    </w:p>
  </w:endnote>
  <w:endnote w:type="continuationSeparator" w:id="1">
    <w:p w:rsidR="000034FB" w:rsidRDefault="000034FB" w:rsidP="00CB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FB" w:rsidRDefault="000034FB" w:rsidP="00CB61B6">
      <w:r>
        <w:separator/>
      </w:r>
    </w:p>
  </w:footnote>
  <w:footnote w:type="continuationSeparator" w:id="1">
    <w:p w:rsidR="000034FB" w:rsidRDefault="000034FB" w:rsidP="00CB6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8F747A"/>
    <w:multiLevelType w:val="singleLevel"/>
    <w:tmpl w:val="838F747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336B02"/>
    <w:multiLevelType w:val="singleLevel"/>
    <w:tmpl w:val="C8336B0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DC9CF2A"/>
    <w:multiLevelType w:val="singleLevel"/>
    <w:tmpl w:val="4DC9CF2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668"/>
    <w:rsid w:val="000034FB"/>
    <w:rsid w:val="00110668"/>
    <w:rsid w:val="00204D24"/>
    <w:rsid w:val="00360DA1"/>
    <w:rsid w:val="005738B7"/>
    <w:rsid w:val="00CB61B6"/>
    <w:rsid w:val="00CE3D2C"/>
    <w:rsid w:val="00F26D7B"/>
    <w:rsid w:val="00FA1D2C"/>
    <w:rsid w:val="1A055A28"/>
    <w:rsid w:val="40B2169B"/>
    <w:rsid w:val="411B32C9"/>
    <w:rsid w:val="6DB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668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1B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CB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61B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9B4653-BFF1-4F0F-9278-DEEC1055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7</cp:revision>
  <dcterms:created xsi:type="dcterms:W3CDTF">2014-10-29T12:08:00Z</dcterms:created>
  <dcterms:modified xsi:type="dcterms:W3CDTF">2022-03-21T05:43:00Z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