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黑体" w:eastAsia="黑体"/>
          <w:szCs w:val="32"/>
        </w:rPr>
      </w:pPr>
      <w:r>
        <w:rPr>
          <w:rFonts w:hint="eastAsia" w:ascii="黑体" w:eastAsia="黑体"/>
          <w:szCs w:val="32"/>
        </w:rPr>
        <w:t>附件</w:t>
      </w:r>
      <w:r>
        <w:rPr>
          <w:rFonts w:hint="eastAsia" w:ascii="黑体" w:eastAsia="黑体"/>
          <w:szCs w:val="32"/>
          <w:lang w:val="en-US" w:eastAsia="zh-CN"/>
        </w:rPr>
        <w:t>3-1</w:t>
      </w:r>
      <w:r>
        <w:rPr>
          <w:rFonts w:hint="eastAsia" w:ascii="黑体" w:eastAsia="黑体"/>
          <w:szCs w:val="32"/>
        </w:rPr>
        <w:t>：</w:t>
      </w:r>
    </w:p>
    <w:tbl>
      <w:tblPr>
        <w:tblStyle w:val="4"/>
        <w:tblW w:w="9174" w:type="dxa"/>
        <w:jc w:val="center"/>
        <w:tblInd w:w="0" w:type="dxa"/>
        <w:tblLayout w:type="fixed"/>
        <w:tblCellMar>
          <w:top w:w="0" w:type="dxa"/>
          <w:left w:w="28" w:type="dxa"/>
          <w:bottom w:w="0" w:type="dxa"/>
          <w:right w:w="28" w:type="dxa"/>
        </w:tblCellMar>
      </w:tblPr>
      <w:tblGrid>
        <w:gridCol w:w="482"/>
        <w:gridCol w:w="635"/>
        <w:gridCol w:w="1085"/>
        <w:gridCol w:w="765"/>
        <w:gridCol w:w="2790"/>
        <w:gridCol w:w="3417"/>
      </w:tblGrid>
      <w:tr>
        <w:tblPrEx>
          <w:tblLayout w:type="fixed"/>
          <w:tblCellMar>
            <w:top w:w="0" w:type="dxa"/>
            <w:left w:w="28" w:type="dxa"/>
            <w:bottom w:w="0" w:type="dxa"/>
            <w:right w:w="28" w:type="dxa"/>
          </w:tblCellMar>
        </w:tblPrEx>
        <w:trPr>
          <w:tblHeader/>
          <w:jc w:val="center"/>
        </w:trPr>
        <w:tc>
          <w:tcPr>
            <w:tcW w:w="9174" w:type="dxa"/>
            <w:gridSpan w:val="6"/>
            <w:tcBorders>
              <w:bottom w:val="single" w:color="auto" w:sz="4" w:space="0"/>
            </w:tcBorders>
            <w:tcMar>
              <w:top w:w="10" w:type="dxa"/>
              <w:left w:w="10" w:type="dxa"/>
              <w:bottom w:w="0" w:type="dxa"/>
              <w:right w:w="10" w:type="dxa"/>
            </w:tcMar>
            <w:vAlign w:val="center"/>
          </w:tcPr>
          <w:p>
            <w:pPr>
              <w:spacing w:after="156" w:afterLines="50"/>
              <w:jc w:val="center"/>
              <w:rPr>
                <w:rFonts w:ascii="黑体" w:eastAsia="黑体"/>
                <w:b/>
                <w:bCs/>
                <w:sz w:val="18"/>
                <w:szCs w:val="18"/>
              </w:rPr>
            </w:pPr>
            <w:r>
              <w:rPr>
                <w:rFonts w:hint="eastAsia" w:ascii="黑体" w:eastAsia="黑体"/>
                <w:bCs/>
                <w:sz w:val="36"/>
                <w:szCs w:val="36"/>
                <w:lang w:val="en-US" w:eastAsia="zh-CN"/>
              </w:rPr>
              <w:t xml:space="preserve"> </w:t>
            </w:r>
            <w:r>
              <w:rPr>
                <w:rFonts w:hint="eastAsia" w:ascii="黑体" w:eastAsia="黑体"/>
                <w:bCs/>
                <w:sz w:val="36"/>
                <w:szCs w:val="36"/>
                <w:lang w:eastAsia="zh-CN"/>
              </w:rPr>
              <w:t>市政中心</w:t>
            </w:r>
            <w:bookmarkStart w:id="0" w:name="_GoBack"/>
            <w:bookmarkEnd w:id="0"/>
            <w:r>
              <w:rPr>
                <w:rFonts w:hint="eastAsia" w:ascii="黑体" w:eastAsia="黑体"/>
                <w:bCs/>
                <w:sz w:val="36"/>
                <w:szCs w:val="36"/>
              </w:rPr>
              <w:t>整体支出绩效自评指标评分表</w:t>
            </w:r>
          </w:p>
        </w:tc>
      </w:tr>
      <w:tr>
        <w:tblPrEx>
          <w:tblLayout w:type="fixed"/>
          <w:tblCellMar>
            <w:top w:w="0" w:type="dxa"/>
            <w:left w:w="28" w:type="dxa"/>
            <w:bottom w:w="0" w:type="dxa"/>
            <w:right w:w="28" w:type="dxa"/>
          </w:tblCellMar>
        </w:tblPrEx>
        <w:trPr>
          <w:trHeight w:val="950" w:hRule="atLeast"/>
          <w:tblHeader/>
          <w:jc w:val="center"/>
        </w:trPr>
        <w:tc>
          <w:tcPr>
            <w:tcW w:w="482" w:type="dxa"/>
            <w:tcBorders>
              <w:top w:val="single" w:color="auto" w:sz="4" w:space="0"/>
              <w:left w:val="single" w:color="auto" w:sz="4" w:space="0"/>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一级</w:t>
            </w:r>
            <w:r>
              <w:rPr>
                <w:rFonts w:hint="eastAsia" w:ascii="仿宋_GB2312" w:hAnsi="仿宋_GB2312" w:eastAsia="仿宋_GB2312" w:cs="仿宋_GB2312"/>
                <w:b/>
                <w:bCs/>
                <w:sz w:val="21"/>
                <w:szCs w:val="21"/>
              </w:rPr>
              <w:br w:type="textWrapping"/>
            </w:r>
            <w:r>
              <w:rPr>
                <w:rFonts w:hint="eastAsia" w:ascii="仿宋_GB2312" w:hAnsi="仿宋_GB2312" w:eastAsia="仿宋_GB2312" w:cs="仿宋_GB2312"/>
                <w:b/>
                <w:bCs/>
                <w:sz w:val="21"/>
                <w:szCs w:val="21"/>
              </w:rPr>
              <w:t>指标</w:t>
            </w:r>
          </w:p>
        </w:tc>
        <w:tc>
          <w:tcPr>
            <w:tcW w:w="63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二级</w:t>
            </w:r>
          </w:p>
          <w:p>
            <w:pPr>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指标</w:t>
            </w:r>
          </w:p>
        </w:tc>
        <w:tc>
          <w:tcPr>
            <w:tcW w:w="108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三级</w:t>
            </w:r>
          </w:p>
          <w:p>
            <w:pPr>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指标</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自评分</w:t>
            </w:r>
          </w:p>
        </w:tc>
        <w:tc>
          <w:tcPr>
            <w:tcW w:w="2790" w:type="dxa"/>
            <w:tcBorders>
              <w:top w:val="single" w:color="auto" w:sz="4" w:space="0"/>
              <w:left w:val="single" w:color="auto" w:sz="4" w:space="0"/>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指标解释</w:t>
            </w:r>
          </w:p>
        </w:tc>
        <w:tc>
          <w:tcPr>
            <w:tcW w:w="3417"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指标说明</w:t>
            </w:r>
          </w:p>
        </w:tc>
      </w:tr>
      <w:tr>
        <w:tblPrEx>
          <w:tblLayout w:type="fixed"/>
          <w:tblCellMar>
            <w:top w:w="0" w:type="dxa"/>
            <w:left w:w="28" w:type="dxa"/>
            <w:bottom w:w="0" w:type="dxa"/>
            <w:right w:w="28" w:type="dxa"/>
          </w:tblCellMar>
        </w:tblPrEx>
        <w:trPr>
          <w:trHeight w:val="1491" w:hRule="atLeast"/>
          <w:jc w:val="center"/>
        </w:trPr>
        <w:tc>
          <w:tcPr>
            <w:tcW w:w="482" w:type="dxa"/>
            <w:vMerge w:val="restart"/>
            <w:tcBorders>
              <w:top w:val="nil"/>
              <w:left w:val="single" w:color="auto" w:sz="4" w:space="0"/>
              <w:bottom w:val="single" w:color="auto" w:sz="4" w:space="0"/>
              <w:right w:val="single" w:color="auto" w:sz="4" w:space="0"/>
            </w:tcBorders>
            <w:tcMar>
              <w:top w:w="10" w:type="dxa"/>
              <w:left w:w="10" w:type="dxa"/>
              <w:bottom w:w="0" w:type="dxa"/>
              <w:right w:w="10" w:type="dxa"/>
            </w:tcMar>
            <w:textDirection w:val="tbRlV"/>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投   入（20分）</w:t>
            </w:r>
          </w:p>
        </w:tc>
        <w:tc>
          <w:tcPr>
            <w:tcW w:w="635" w:type="dxa"/>
            <w:vMerge w:val="restart"/>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目标</w:t>
            </w:r>
            <w:r>
              <w:rPr>
                <w:rFonts w:hint="eastAsia" w:ascii="仿宋_GB2312" w:hAnsi="仿宋_GB2312" w:eastAsia="仿宋_GB2312" w:cs="仿宋_GB2312"/>
                <w:sz w:val="21"/>
                <w:szCs w:val="21"/>
              </w:rPr>
              <w:br w:type="textWrapping"/>
            </w:r>
            <w:r>
              <w:rPr>
                <w:rFonts w:hint="eastAsia" w:ascii="仿宋_GB2312" w:hAnsi="仿宋_GB2312" w:eastAsia="仿宋_GB2312" w:cs="仿宋_GB2312"/>
                <w:sz w:val="21"/>
                <w:szCs w:val="21"/>
              </w:rPr>
              <w:t>设定（5分）</w:t>
            </w: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绩效目标合理性（2分）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2</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部门所设立的整体绩效目标依据是否充分，是否符合客观实际，用以反映和考核部门整体绩效目标与部门履职、年度工作任务的相符性情况。</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before="156" w:beforeLines="50" w:after="156" w:afterLines="5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①符合国家法律法规、国民经济和社会发展总体规划计1分；②符合部门“三定”方案确定的职责计0.5分；③是否符合部门制定的中长期实施规划计0.5分。</w:t>
            </w:r>
          </w:p>
        </w:tc>
      </w:tr>
      <w:tr>
        <w:tblPrEx>
          <w:tblLayout w:type="fixed"/>
          <w:tblCellMar>
            <w:top w:w="0" w:type="dxa"/>
            <w:left w:w="28" w:type="dxa"/>
            <w:bottom w:w="0" w:type="dxa"/>
            <w:right w:w="28" w:type="dxa"/>
          </w:tblCellMar>
        </w:tblPrEx>
        <w:trPr>
          <w:trHeight w:val="1674" w:hRule="atLeast"/>
          <w:jc w:val="center"/>
        </w:trPr>
        <w:tc>
          <w:tcPr>
            <w:tcW w:w="482"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635"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绩效指标明确性（3分）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3</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部门依据整体绩效目标所设定的绩效指标是否清晰、细化、可衡量，用以反映和考核部门整体绩效目标的明细化情况。</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before="156" w:beforeLines="50" w:after="156" w:afterLines="5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①将部门整体的绩效目标细化分解为具体的工作任务计1分；②通过清晰、可衡量的指标值予以体现计0.5分。③与部门年度的任务数或计划数相对应计0.5分；④与本年度部门预算资金相匹配计1分。</w:t>
            </w:r>
          </w:p>
        </w:tc>
      </w:tr>
      <w:tr>
        <w:tblPrEx>
          <w:tblLayout w:type="fixed"/>
          <w:tblCellMar>
            <w:top w:w="0" w:type="dxa"/>
            <w:left w:w="28" w:type="dxa"/>
            <w:bottom w:w="0" w:type="dxa"/>
            <w:right w:w="28" w:type="dxa"/>
          </w:tblCellMar>
        </w:tblPrEx>
        <w:trPr>
          <w:trHeight w:val="1548" w:hRule="atLeast"/>
          <w:jc w:val="center"/>
        </w:trPr>
        <w:tc>
          <w:tcPr>
            <w:tcW w:w="482"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635" w:type="dxa"/>
            <w:vMerge w:val="restart"/>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预算</w:t>
            </w:r>
            <w:r>
              <w:rPr>
                <w:rFonts w:hint="eastAsia" w:ascii="仿宋_GB2312" w:hAnsi="仿宋_GB2312" w:eastAsia="仿宋_GB2312" w:cs="仿宋_GB2312"/>
                <w:sz w:val="21"/>
                <w:szCs w:val="21"/>
              </w:rPr>
              <w:br w:type="textWrapping"/>
            </w:r>
            <w:r>
              <w:rPr>
                <w:rFonts w:hint="eastAsia" w:ascii="仿宋_GB2312" w:hAnsi="仿宋_GB2312" w:eastAsia="仿宋_GB2312" w:cs="仿宋_GB2312"/>
                <w:sz w:val="21"/>
                <w:szCs w:val="21"/>
              </w:rPr>
              <w:t>配置（15分）</w:t>
            </w: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在职人员控制率（5分）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5</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部门本年度实际在职人员数与编制数的比率，用以反映和考核部门对人员成本的控制程度。</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before="156" w:beforeLines="50" w:after="156" w:afterLines="5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在职人员控制率=（在职人员数/编制数）×100%小于或等于1计5分，否则按比例计分。在职人员数：部门实际在职人数，以财政部确定的部门决算编制口径为准。编制数：机构编制部门核定批复的部门的人员编制数。</w:t>
            </w:r>
          </w:p>
        </w:tc>
      </w:tr>
      <w:tr>
        <w:tblPrEx>
          <w:tblLayout w:type="fixed"/>
          <w:tblCellMar>
            <w:top w:w="0" w:type="dxa"/>
            <w:left w:w="28" w:type="dxa"/>
            <w:bottom w:w="0" w:type="dxa"/>
            <w:right w:w="28" w:type="dxa"/>
          </w:tblCellMar>
        </w:tblPrEx>
        <w:trPr>
          <w:trHeight w:val="1856" w:hRule="atLeast"/>
          <w:jc w:val="center"/>
        </w:trPr>
        <w:tc>
          <w:tcPr>
            <w:tcW w:w="482"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635"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“三公经费”变动率（5分）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5</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部门本年度“三公经费”预算数与上年度“三公经费”预算数的变动比率，用以反映和考核部门对控制重点行政成本的努力程度。</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before="156" w:beforeLines="50" w:after="156" w:afterLines="5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三公经费”变动率=[（本年度“三公经费”总额-上年度“三公经费”总额）/上年度“三公经费”总额]×100%。下降的计5分，增加的按比例扣减。“三公经费”：年度预算安排的因公出国（境）费、公务车辆购置及运行费和公务招待费。</w:t>
            </w:r>
          </w:p>
        </w:tc>
      </w:tr>
      <w:tr>
        <w:tblPrEx>
          <w:tblLayout w:type="fixed"/>
          <w:tblCellMar>
            <w:top w:w="0" w:type="dxa"/>
            <w:left w:w="28" w:type="dxa"/>
            <w:bottom w:w="0" w:type="dxa"/>
            <w:right w:w="28" w:type="dxa"/>
          </w:tblCellMar>
        </w:tblPrEx>
        <w:trPr>
          <w:trHeight w:val="2218" w:hRule="atLeast"/>
          <w:jc w:val="center"/>
        </w:trPr>
        <w:tc>
          <w:tcPr>
            <w:tcW w:w="482"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635"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重点支出安排率（5分）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5</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部门本年度预算安排的重点项目支出与部门项目总支出的比率，用以反映和考核部门对履行主要职责或完成重点任务的保障程度。</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before="156" w:beforeLines="50" w:after="156" w:afterLines="5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重点支出安排率=（重点项目支出/项目总支出）×100%。实际得分=支出安排率*5分。重点项目支出：部门年度预算安排的，与本部门履职和发展密切相关、具有明显社会和经济影响、党委政府关心或社会比较关注的项目支出总额。项目总支出：部门年度预算安排的项目支出总额。</w:t>
            </w:r>
          </w:p>
        </w:tc>
      </w:tr>
      <w:tr>
        <w:tblPrEx>
          <w:tblLayout w:type="fixed"/>
          <w:tblCellMar>
            <w:top w:w="0" w:type="dxa"/>
            <w:left w:w="28" w:type="dxa"/>
            <w:bottom w:w="0" w:type="dxa"/>
            <w:right w:w="28" w:type="dxa"/>
          </w:tblCellMar>
        </w:tblPrEx>
        <w:trPr>
          <w:trHeight w:val="529" w:hRule="atLeast"/>
          <w:jc w:val="center"/>
        </w:trPr>
        <w:tc>
          <w:tcPr>
            <w:tcW w:w="482" w:type="dxa"/>
            <w:vMerge w:val="restart"/>
            <w:tcBorders>
              <w:top w:val="single" w:color="auto" w:sz="4" w:space="0"/>
              <w:left w:val="single" w:color="auto" w:sz="4" w:space="0"/>
              <w:bottom w:val="single" w:color="auto" w:sz="4" w:space="0"/>
              <w:right w:val="single" w:color="auto" w:sz="4" w:space="0"/>
            </w:tcBorders>
            <w:tcMar>
              <w:top w:w="10" w:type="dxa"/>
              <w:left w:w="10" w:type="dxa"/>
              <w:bottom w:w="0" w:type="dxa"/>
              <w:right w:w="10" w:type="dxa"/>
            </w:tcMar>
            <w:textDirection w:val="tbRlV"/>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过             程（30分）</w:t>
            </w:r>
          </w:p>
        </w:tc>
        <w:tc>
          <w:tcPr>
            <w:tcW w:w="635" w:type="dxa"/>
            <w:vMerge w:val="restart"/>
            <w:tcBorders>
              <w:top w:val="nil"/>
              <w:left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预算执行（20分）</w:t>
            </w: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预算完成率(4分)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4</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部门本年度预算完成数与预算数的比率，用以反映和考核部门预算完成程度。</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before="62" w:beforeLines="20" w:after="62" w:afterLines="2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预算完成率=（预算完成数/预算数）×100%。完成年初预算计4分，未完成年初预算按比例扣减，预算完成数：部门本年度实际完成的预算数。预算数：财政部门批复的本年度部门预算数。</w:t>
            </w:r>
          </w:p>
        </w:tc>
      </w:tr>
      <w:tr>
        <w:tblPrEx>
          <w:tblLayout w:type="fixed"/>
          <w:tblCellMar>
            <w:top w:w="0" w:type="dxa"/>
            <w:left w:w="28" w:type="dxa"/>
            <w:bottom w:w="0" w:type="dxa"/>
            <w:right w:w="28" w:type="dxa"/>
          </w:tblCellMar>
        </w:tblPrEx>
        <w:trPr>
          <w:trHeight w:val="1391" w:hRule="atLeast"/>
          <w:jc w:val="center"/>
        </w:trPr>
        <w:tc>
          <w:tcPr>
            <w:tcW w:w="48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1"/>
                <w:szCs w:val="21"/>
              </w:rPr>
            </w:pPr>
          </w:p>
        </w:tc>
        <w:tc>
          <w:tcPr>
            <w:tcW w:w="635" w:type="dxa"/>
            <w:vMerge w:val="continue"/>
            <w:tcBorders>
              <w:left w:val="single" w:color="auto" w:sz="4" w:space="0"/>
              <w:right w:val="single" w:color="auto" w:sz="4" w:space="0"/>
            </w:tcBorders>
            <w:vAlign w:val="center"/>
          </w:tcPr>
          <w:p>
            <w:pPr>
              <w:jc w:val="cente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预算调整率（2分）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2</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部门本年度预算调整数与预算数的比率，用以反映和考核部门预算的调整程度。</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before="62" w:beforeLines="20" w:after="62" w:afterLines="2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预算调整率=（预算调整数/预算数）×100%。未调整的计2分，调整了的除特殊原因外按比例扣减。预算调整数：部门在本年度内涉及预算的追加、追减或结构调整的资金总和（因落实国家政策、发生不可抗力、上级部门或同级党委政府临时交办而产生的调整除外）。</w:t>
            </w:r>
          </w:p>
        </w:tc>
      </w:tr>
      <w:tr>
        <w:tblPrEx>
          <w:tblLayout w:type="fixed"/>
          <w:tblCellMar>
            <w:top w:w="0" w:type="dxa"/>
            <w:left w:w="28" w:type="dxa"/>
            <w:bottom w:w="0" w:type="dxa"/>
            <w:right w:w="28" w:type="dxa"/>
          </w:tblCellMar>
        </w:tblPrEx>
        <w:trPr>
          <w:trHeight w:val="2018" w:hRule="atLeast"/>
          <w:jc w:val="center"/>
        </w:trPr>
        <w:tc>
          <w:tcPr>
            <w:tcW w:w="48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1"/>
                <w:szCs w:val="21"/>
              </w:rPr>
            </w:pPr>
          </w:p>
        </w:tc>
        <w:tc>
          <w:tcPr>
            <w:tcW w:w="635" w:type="dxa"/>
            <w:vMerge w:val="continue"/>
            <w:tcBorders>
              <w:left w:val="single" w:color="auto" w:sz="4" w:space="0"/>
              <w:right w:val="single" w:color="auto" w:sz="4" w:space="0"/>
            </w:tcBorders>
            <w:vAlign w:val="center"/>
          </w:tcPr>
          <w:p>
            <w:pPr>
              <w:jc w:val="cente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支付进度率（2分）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2</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部门实际支付进度与既定支付进度的比率，用以反映和考核部门预算执行的及时性和均衡性程度。</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spacing w:before="62" w:beforeLines="20" w:after="62" w:afterLines="2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支付进度率=（实际支付进度/既定支付进度）×100%。完成年终进度的计1分，按季度完成预算进度的计1分。实际支付进度：部门在某一时点的支出预算执行总数与年度支出预算数的比率。既定支付进度：由部门在申报部门整体绩效目标时，参照序时支付进度、前三年支付进度、同级部门平均支付进度水平等确定的，在某一时点应达到的支付进度（比率）。</w:t>
            </w:r>
          </w:p>
        </w:tc>
      </w:tr>
      <w:tr>
        <w:tblPrEx>
          <w:tblLayout w:type="fixed"/>
          <w:tblCellMar>
            <w:top w:w="0" w:type="dxa"/>
            <w:left w:w="28" w:type="dxa"/>
            <w:bottom w:w="0" w:type="dxa"/>
            <w:right w:w="28" w:type="dxa"/>
          </w:tblCellMar>
        </w:tblPrEx>
        <w:trPr>
          <w:trHeight w:val="315" w:hRule="atLeast"/>
          <w:jc w:val="center"/>
        </w:trPr>
        <w:tc>
          <w:tcPr>
            <w:tcW w:w="482" w:type="dxa"/>
            <w:vMerge w:val="continue"/>
            <w:tcBorders>
              <w:top w:val="single" w:color="auto" w:sz="4" w:space="0"/>
              <w:left w:val="single" w:color="auto" w:sz="4" w:space="0"/>
              <w:bottom w:val="single" w:color="auto" w:sz="4" w:space="0"/>
              <w:right w:val="single" w:color="auto" w:sz="4" w:space="0"/>
            </w:tcBorders>
            <w:tcMar>
              <w:top w:w="10" w:type="dxa"/>
              <w:left w:w="10" w:type="dxa"/>
              <w:bottom w:w="0" w:type="dxa"/>
              <w:right w:w="10" w:type="dxa"/>
            </w:tcMar>
            <w:textDirection w:val="tbRlV"/>
            <w:vAlign w:val="center"/>
          </w:tcPr>
          <w:p>
            <w:pPr>
              <w:jc w:val="center"/>
              <w:rPr>
                <w:rFonts w:hint="eastAsia" w:ascii="仿宋_GB2312" w:hAnsi="仿宋_GB2312" w:eastAsia="仿宋_GB2312" w:cs="仿宋_GB2312"/>
                <w:sz w:val="21"/>
                <w:szCs w:val="21"/>
              </w:rPr>
            </w:pPr>
          </w:p>
        </w:tc>
        <w:tc>
          <w:tcPr>
            <w:tcW w:w="635" w:type="dxa"/>
            <w:vMerge w:val="continue"/>
            <w:tcBorders>
              <w:left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p>
        </w:tc>
        <w:tc>
          <w:tcPr>
            <w:tcW w:w="108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结转结余控制率（4分）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4</w:t>
            </w:r>
          </w:p>
        </w:tc>
        <w:tc>
          <w:tcPr>
            <w:tcW w:w="2790" w:type="dxa"/>
            <w:tcBorders>
              <w:top w:val="single" w:color="auto" w:sz="4" w:space="0"/>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部门本年度结转结余总额与上年结转结余总额增减比例，用以反映和考核部门对存量资金的实际控制程度。</w:t>
            </w:r>
          </w:p>
        </w:tc>
        <w:tc>
          <w:tcPr>
            <w:tcW w:w="3417"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结转结余控制率=（本年结转结余总额-上年结转结余总额）/上年结转结余总额×100%。低于15%的计4分，每超过5个百分点扣1分，扣完为止。结转结余总额：部门本年度的结转资金与结余资金之和（以决算数为准）。</w:t>
            </w:r>
          </w:p>
        </w:tc>
      </w:tr>
      <w:tr>
        <w:tblPrEx>
          <w:tblLayout w:type="fixed"/>
          <w:tblCellMar>
            <w:top w:w="0" w:type="dxa"/>
            <w:left w:w="28" w:type="dxa"/>
            <w:bottom w:w="0" w:type="dxa"/>
            <w:right w:w="28" w:type="dxa"/>
          </w:tblCellMar>
        </w:tblPrEx>
        <w:trPr>
          <w:trHeight w:val="1229" w:hRule="atLeast"/>
          <w:jc w:val="center"/>
        </w:trPr>
        <w:tc>
          <w:tcPr>
            <w:tcW w:w="48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1"/>
                <w:szCs w:val="21"/>
              </w:rPr>
            </w:pPr>
          </w:p>
        </w:tc>
        <w:tc>
          <w:tcPr>
            <w:tcW w:w="635" w:type="dxa"/>
            <w:vMerge w:val="continue"/>
            <w:tcBorders>
              <w:left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公用经费控制率（2分）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2</w:t>
            </w:r>
          </w:p>
        </w:tc>
        <w:tc>
          <w:tcPr>
            <w:tcW w:w="2790" w:type="dxa"/>
            <w:tcBorders>
              <w:top w:val="single" w:color="auto" w:sz="4" w:space="0"/>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部门本年度实际支出的公用经费总额与预算安排的公用经费总额的比率，用以反映和考核部门对机构运转成本的实际控制程度。</w:t>
            </w:r>
          </w:p>
        </w:tc>
        <w:tc>
          <w:tcPr>
            <w:tcW w:w="3417"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公用经费控制率=（实际支出公用经费总额/预算安排公用经费总额）×100%。为100%的计2分，每超过1个百分点扣0.1分，扣完为止。</w:t>
            </w:r>
          </w:p>
        </w:tc>
      </w:tr>
      <w:tr>
        <w:tblPrEx>
          <w:tblLayout w:type="fixed"/>
          <w:tblCellMar>
            <w:top w:w="0" w:type="dxa"/>
            <w:left w:w="28" w:type="dxa"/>
            <w:bottom w:w="0" w:type="dxa"/>
            <w:right w:w="28" w:type="dxa"/>
          </w:tblCellMar>
        </w:tblPrEx>
        <w:trPr>
          <w:trHeight w:val="1090" w:hRule="atLeast"/>
          <w:jc w:val="center"/>
        </w:trPr>
        <w:tc>
          <w:tcPr>
            <w:tcW w:w="48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1"/>
                <w:szCs w:val="21"/>
              </w:rPr>
            </w:pPr>
          </w:p>
        </w:tc>
        <w:tc>
          <w:tcPr>
            <w:tcW w:w="635" w:type="dxa"/>
            <w:vMerge w:val="continue"/>
            <w:tcBorders>
              <w:left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“三公经费”控制率（2分）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2</w:t>
            </w:r>
          </w:p>
        </w:tc>
        <w:tc>
          <w:tcPr>
            <w:tcW w:w="2790" w:type="dxa"/>
            <w:tcBorders>
              <w:top w:val="single" w:color="auto" w:sz="4" w:space="0"/>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部门本年度“三公经费”实际支出数与预算安排数的比率，用以反映和考核部门对“三公经费”的实际控制程度。</w:t>
            </w:r>
          </w:p>
        </w:tc>
        <w:tc>
          <w:tcPr>
            <w:tcW w:w="3417"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“三公经费”控制率=（“三公经费”实际支出数/“三公经费”预算安排数）×100%。为100%的计2分，每超过1个百分点扣0.5分，扣完为止。</w:t>
            </w:r>
          </w:p>
        </w:tc>
      </w:tr>
      <w:tr>
        <w:tblPrEx>
          <w:tblLayout w:type="fixed"/>
          <w:tblCellMar>
            <w:top w:w="0" w:type="dxa"/>
            <w:left w:w="28" w:type="dxa"/>
            <w:bottom w:w="0" w:type="dxa"/>
            <w:right w:w="28" w:type="dxa"/>
          </w:tblCellMar>
        </w:tblPrEx>
        <w:trPr>
          <w:trHeight w:val="287" w:hRule="atLeast"/>
          <w:jc w:val="center"/>
        </w:trPr>
        <w:tc>
          <w:tcPr>
            <w:tcW w:w="48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1"/>
                <w:szCs w:val="21"/>
              </w:rPr>
            </w:pPr>
          </w:p>
        </w:tc>
        <w:tc>
          <w:tcPr>
            <w:tcW w:w="635" w:type="dxa"/>
            <w:vMerge w:val="continue"/>
            <w:tcBorders>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政府采购执行率（4分）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4</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部门本年度实际政府采购金额与年初政府采购预算的比率，用以反映和考核部门政府采购预算执行情况。</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政府采购执行率=（实际政府采购金额/政府采购预算数）×100%，为100%的计2分，每低于1个百分点扣0.5分，扣完为止；政府采购预算：采购机关根据事业发展计划和行政任务编制的、并经过规定程序批准的年度政府采购计划。 </w:t>
            </w:r>
          </w:p>
        </w:tc>
      </w:tr>
      <w:tr>
        <w:tblPrEx>
          <w:tblLayout w:type="fixed"/>
          <w:tblCellMar>
            <w:top w:w="0" w:type="dxa"/>
            <w:left w:w="28" w:type="dxa"/>
            <w:bottom w:w="0" w:type="dxa"/>
            <w:right w:w="28" w:type="dxa"/>
          </w:tblCellMar>
        </w:tblPrEx>
        <w:trPr>
          <w:trHeight w:val="1391" w:hRule="atLeast"/>
          <w:jc w:val="center"/>
        </w:trPr>
        <w:tc>
          <w:tcPr>
            <w:tcW w:w="482" w:type="dxa"/>
            <w:vMerge w:val="restart"/>
            <w:tcBorders>
              <w:top w:val="single" w:color="auto" w:sz="4" w:space="0"/>
              <w:left w:val="single" w:color="auto" w:sz="4" w:space="0"/>
              <w:right w:val="single" w:color="auto" w:sz="4" w:space="0"/>
            </w:tcBorders>
            <w:textDirection w:val="tbRlV"/>
            <w:vAlign w:val="center"/>
          </w:tcPr>
          <w:p>
            <w:pPr>
              <w:ind w:left="113" w:right="113"/>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过             程（30分）</w:t>
            </w:r>
          </w:p>
        </w:tc>
        <w:tc>
          <w:tcPr>
            <w:tcW w:w="635" w:type="dxa"/>
            <w:vMerge w:val="restart"/>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         预算</w:t>
            </w:r>
          </w:p>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管理</w:t>
            </w:r>
          </w:p>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（5分）</w:t>
            </w: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管理制度健全性（2分）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2</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部门为加强预算管理、规范财务行为而制定的管理制度是否健全完整，用以反映和考核部门预算管理制度对完成主要职责或促进事业发展的保障情况。</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已制定或具有预算资金管理办法、内部财务管理制度、会计核算制度等管理制度计1分；相关管理制度合法、合规、完整计0.5分；相关管理制度得到有效执行计0.5分。</w:t>
            </w:r>
          </w:p>
        </w:tc>
      </w:tr>
      <w:tr>
        <w:tblPrEx>
          <w:tblLayout w:type="fixed"/>
          <w:tblCellMar>
            <w:top w:w="0" w:type="dxa"/>
            <w:left w:w="28" w:type="dxa"/>
            <w:bottom w:w="0" w:type="dxa"/>
            <w:right w:w="28" w:type="dxa"/>
          </w:tblCellMar>
        </w:tblPrEx>
        <w:trPr>
          <w:trHeight w:val="2001" w:hRule="atLeast"/>
          <w:jc w:val="center"/>
        </w:trPr>
        <w:tc>
          <w:tcPr>
            <w:tcW w:w="482" w:type="dxa"/>
            <w:vMerge w:val="continue"/>
            <w:tcBorders>
              <w:left w:val="single" w:color="auto" w:sz="4" w:space="0"/>
              <w:right w:val="single" w:color="auto" w:sz="4" w:space="0"/>
            </w:tcBorders>
            <w:vAlign w:val="center"/>
          </w:tcPr>
          <w:p>
            <w:pPr>
              <w:jc w:val="center"/>
              <w:rPr>
                <w:rFonts w:hint="eastAsia" w:ascii="仿宋_GB2312" w:hAnsi="仿宋_GB2312" w:eastAsia="仿宋_GB2312" w:cs="仿宋_GB2312"/>
                <w:sz w:val="21"/>
                <w:szCs w:val="21"/>
              </w:rPr>
            </w:pPr>
          </w:p>
        </w:tc>
        <w:tc>
          <w:tcPr>
            <w:tcW w:w="635"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资金使用合规性（1分）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1</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部门使用预算资金是否符合相关的预算财务管理制度的规定，用以反映和考核部门预算资金的规范运行情况。</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①符合国家财经法规和财务管理制度规定以及有关专项资金管理办法的规定计0.2分；②资金的拨付有完整的审批程序和手续计0.2分；③项目的重大开支经过评估论证计0.2分；④符合部门预算批复的用途计0.2分；⑤不存在截留、挤占、挪用、虚列支出等情况计0.2分。</w:t>
            </w:r>
          </w:p>
        </w:tc>
      </w:tr>
      <w:tr>
        <w:tblPrEx>
          <w:tblLayout w:type="fixed"/>
          <w:tblCellMar>
            <w:top w:w="0" w:type="dxa"/>
            <w:left w:w="28" w:type="dxa"/>
            <w:bottom w:w="0" w:type="dxa"/>
            <w:right w:w="28" w:type="dxa"/>
          </w:tblCellMar>
        </w:tblPrEx>
        <w:trPr>
          <w:trHeight w:val="1391" w:hRule="atLeast"/>
          <w:jc w:val="center"/>
        </w:trPr>
        <w:tc>
          <w:tcPr>
            <w:tcW w:w="482" w:type="dxa"/>
            <w:vMerge w:val="continue"/>
            <w:tcBorders>
              <w:left w:val="single" w:color="auto" w:sz="4" w:space="0"/>
              <w:right w:val="single" w:color="auto" w:sz="4" w:space="0"/>
            </w:tcBorders>
            <w:vAlign w:val="center"/>
          </w:tcPr>
          <w:p>
            <w:pPr>
              <w:jc w:val="center"/>
              <w:rPr>
                <w:rFonts w:hint="eastAsia" w:ascii="仿宋_GB2312" w:hAnsi="仿宋_GB2312" w:eastAsia="仿宋_GB2312" w:cs="仿宋_GB2312"/>
                <w:sz w:val="21"/>
                <w:szCs w:val="21"/>
              </w:rPr>
            </w:pPr>
          </w:p>
        </w:tc>
        <w:tc>
          <w:tcPr>
            <w:tcW w:w="635"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预决算信息公开性（1分）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1</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部门是否按照政府信息公开有关规定公开相关预决算信息，用以反映和考核部门预决算管理的公开透明情况。</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①按规定内容公开预决算信息计0.5分；②按规定时限公开预决算信息计0.5分。预决算信息是指与部门预算、执行、决算、监督、绩效等管理相关的信息。</w:t>
            </w:r>
          </w:p>
        </w:tc>
      </w:tr>
      <w:tr>
        <w:tblPrEx>
          <w:tblLayout w:type="fixed"/>
          <w:tblCellMar>
            <w:top w:w="0" w:type="dxa"/>
            <w:left w:w="28" w:type="dxa"/>
            <w:bottom w:w="0" w:type="dxa"/>
            <w:right w:w="28" w:type="dxa"/>
          </w:tblCellMar>
        </w:tblPrEx>
        <w:trPr>
          <w:trHeight w:val="1395" w:hRule="atLeast"/>
          <w:jc w:val="center"/>
        </w:trPr>
        <w:tc>
          <w:tcPr>
            <w:tcW w:w="482" w:type="dxa"/>
            <w:vMerge w:val="continue"/>
            <w:tcBorders>
              <w:left w:val="single" w:color="auto" w:sz="4" w:space="0"/>
              <w:right w:val="single" w:color="auto" w:sz="4" w:space="0"/>
            </w:tcBorders>
            <w:vAlign w:val="center"/>
          </w:tcPr>
          <w:p>
            <w:pPr>
              <w:jc w:val="center"/>
              <w:rPr>
                <w:rFonts w:hint="eastAsia" w:ascii="仿宋_GB2312" w:hAnsi="仿宋_GB2312" w:eastAsia="仿宋_GB2312" w:cs="仿宋_GB2312"/>
                <w:sz w:val="21"/>
                <w:szCs w:val="21"/>
              </w:rPr>
            </w:pPr>
          </w:p>
        </w:tc>
        <w:tc>
          <w:tcPr>
            <w:tcW w:w="635"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基础信息完善性（1分）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1</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部门基础信息是否完善，用以反映和考核基础信息对预算管理工作的支撑情况。</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①基础数据信息和会计信息资料真实计0.4分；②基础数据信息和会计信息资料完整计0.3分；③基础数据信息和会计信息资料准确计0.3分。</w:t>
            </w:r>
          </w:p>
        </w:tc>
      </w:tr>
      <w:tr>
        <w:tblPrEx>
          <w:tblLayout w:type="fixed"/>
          <w:tblCellMar>
            <w:top w:w="0" w:type="dxa"/>
            <w:left w:w="28" w:type="dxa"/>
            <w:bottom w:w="0" w:type="dxa"/>
            <w:right w:w="28" w:type="dxa"/>
          </w:tblCellMar>
        </w:tblPrEx>
        <w:trPr>
          <w:trHeight w:val="90" w:hRule="atLeast"/>
          <w:jc w:val="center"/>
        </w:trPr>
        <w:tc>
          <w:tcPr>
            <w:tcW w:w="482" w:type="dxa"/>
            <w:vMerge w:val="continue"/>
            <w:tcBorders>
              <w:left w:val="single" w:color="auto" w:sz="4" w:space="0"/>
              <w:right w:val="single" w:color="auto" w:sz="4" w:space="0"/>
            </w:tcBorders>
            <w:tcMar>
              <w:top w:w="10" w:type="dxa"/>
              <w:left w:w="10" w:type="dxa"/>
              <w:bottom w:w="0" w:type="dxa"/>
              <w:right w:w="10" w:type="dxa"/>
            </w:tcMar>
            <w:textDirection w:val="tbRlV"/>
            <w:vAlign w:val="center"/>
          </w:tcPr>
          <w:p>
            <w:pPr>
              <w:jc w:val="center"/>
              <w:rPr>
                <w:rFonts w:hint="eastAsia" w:ascii="仿宋_GB2312" w:hAnsi="仿宋_GB2312" w:eastAsia="仿宋_GB2312" w:cs="仿宋_GB2312"/>
                <w:sz w:val="21"/>
                <w:szCs w:val="21"/>
              </w:rPr>
            </w:pPr>
          </w:p>
        </w:tc>
        <w:tc>
          <w:tcPr>
            <w:tcW w:w="635" w:type="dxa"/>
            <w:vMerge w:val="restart"/>
            <w:tcBorders>
              <w:top w:val="nil"/>
              <w:left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资产</w:t>
            </w:r>
            <w:r>
              <w:rPr>
                <w:rFonts w:hint="eastAsia" w:ascii="仿宋_GB2312" w:hAnsi="仿宋_GB2312" w:eastAsia="仿宋_GB2312" w:cs="仿宋_GB2312"/>
                <w:sz w:val="21"/>
                <w:szCs w:val="21"/>
              </w:rPr>
              <w:br w:type="textWrapping"/>
            </w:r>
            <w:r>
              <w:rPr>
                <w:rFonts w:hint="eastAsia" w:ascii="仿宋_GB2312" w:hAnsi="仿宋_GB2312" w:eastAsia="仿宋_GB2312" w:cs="仿宋_GB2312"/>
                <w:sz w:val="21"/>
                <w:szCs w:val="21"/>
              </w:rPr>
              <w:t>管理</w:t>
            </w:r>
          </w:p>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（5分）</w:t>
            </w: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管理制度健全性（2分）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2</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部门为加强资产管理、规范资产管理行为而制定的管理制度是否健全完整，用以反映和考核部门资产管理制度对完成主要职责或促进社会发展的保障情况。</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①制定或具有资产管理制度计1分；②相关资金管理制度合法、合规、完整计0.5分；③相关资产管理制度得到有效执行计0.5分。</w:t>
            </w:r>
          </w:p>
        </w:tc>
      </w:tr>
      <w:tr>
        <w:tblPrEx>
          <w:tblLayout w:type="fixed"/>
          <w:tblCellMar>
            <w:top w:w="0" w:type="dxa"/>
            <w:left w:w="28" w:type="dxa"/>
            <w:bottom w:w="0" w:type="dxa"/>
            <w:right w:w="28" w:type="dxa"/>
          </w:tblCellMar>
        </w:tblPrEx>
        <w:trPr>
          <w:trHeight w:val="1532" w:hRule="atLeast"/>
          <w:jc w:val="center"/>
        </w:trPr>
        <w:tc>
          <w:tcPr>
            <w:tcW w:w="482" w:type="dxa"/>
            <w:vMerge w:val="continue"/>
            <w:tcBorders>
              <w:left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635" w:type="dxa"/>
            <w:vMerge w:val="continue"/>
            <w:tcBorders>
              <w:left w:val="single" w:color="auto" w:sz="4" w:space="0"/>
              <w:right w:val="single" w:color="auto" w:sz="4" w:space="0"/>
            </w:tcBorders>
            <w:vAlign w:val="center"/>
          </w:tcPr>
          <w:p>
            <w:pPr>
              <w:jc w:val="center"/>
              <w:rPr>
                <w:rFonts w:hint="eastAsia" w:ascii="仿宋_GB2312" w:hAnsi="仿宋_GB2312" w:eastAsia="仿宋_GB2312" w:cs="仿宋_GB2312"/>
                <w:sz w:val="21"/>
                <w:szCs w:val="21"/>
              </w:rPr>
            </w:pPr>
          </w:p>
        </w:tc>
        <w:tc>
          <w:tcPr>
            <w:tcW w:w="108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资产管理安全性（2分）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761"/>
                <w:tab w:val="left" w:pos="2604"/>
              </w:tabs>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2</w:t>
            </w:r>
          </w:p>
        </w:tc>
        <w:tc>
          <w:tcPr>
            <w:tcW w:w="2790" w:type="dxa"/>
            <w:tcBorders>
              <w:top w:val="single" w:color="auto" w:sz="4" w:space="0"/>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761"/>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部门的资产是否保存完整、使用合规、配置合理、处置规范、收入及时足额上缴，用以反映和考核部门资产安全运行情况。</w:t>
            </w:r>
          </w:p>
        </w:tc>
        <w:tc>
          <w:tcPr>
            <w:tcW w:w="3417"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①资产保存完整计0.4分；②资产配置合理计0.4分；③资产处置规范计0.4分；④资产账务管理合规、帐实相符计0.4分；⑤资产有偿使用及处置收入及时足额上缴计0.4分。</w:t>
            </w:r>
          </w:p>
        </w:tc>
      </w:tr>
      <w:tr>
        <w:tblPrEx>
          <w:tblLayout w:type="fixed"/>
          <w:tblCellMar>
            <w:top w:w="0" w:type="dxa"/>
            <w:left w:w="28" w:type="dxa"/>
            <w:bottom w:w="0" w:type="dxa"/>
            <w:right w:w="28" w:type="dxa"/>
          </w:tblCellMar>
        </w:tblPrEx>
        <w:trPr>
          <w:trHeight w:val="1110" w:hRule="atLeast"/>
          <w:jc w:val="center"/>
        </w:trPr>
        <w:tc>
          <w:tcPr>
            <w:tcW w:w="482" w:type="dxa"/>
            <w:vMerge w:val="continue"/>
            <w:tcBorders>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635" w:type="dxa"/>
            <w:vMerge w:val="continue"/>
            <w:tcBorders>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固定资产利用率（1分）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1</w:t>
            </w:r>
          </w:p>
        </w:tc>
        <w:tc>
          <w:tcPr>
            <w:tcW w:w="2790" w:type="dxa"/>
            <w:tcBorders>
              <w:top w:val="single" w:color="auto" w:sz="4" w:space="0"/>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部门实际在用固定资产总额与所有固定资产总额的比率，用以反映和考核部门固定资产使用效率程度。</w:t>
            </w:r>
          </w:p>
        </w:tc>
        <w:tc>
          <w:tcPr>
            <w:tcW w:w="3417"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固定资产利用率=（实际在用固定资产总额/所有固定资产总额）×100%。利用率为100%的计1分，每降1个百分点扣0.1分，扣完为止。</w:t>
            </w:r>
          </w:p>
        </w:tc>
      </w:tr>
      <w:tr>
        <w:tblPrEx>
          <w:tblLayout w:type="fixed"/>
          <w:tblCellMar>
            <w:top w:w="0" w:type="dxa"/>
            <w:left w:w="28" w:type="dxa"/>
            <w:bottom w:w="0" w:type="dxa"/>
            <w:right w:w="28" w:type="dxa"/>
          </w:tblCellMar>
        </w:tblPrEx>
        <w:trPr>
          <w:trHeight w:val="832" w:hRule="atLeast"/>
          <w:jc w:val="center"/>
        </w:trPr>
        <w:tc>
          <w:tcPr>
            <w:tcW w:w="482" w:type="dxa"/>
            <w:vMerge w:val="restart"/>
            <w:tcBorders>
              <w:top w:val="nil"/>
              <w:left w:val="single" w:color="auto" w:sz="4" w:space="0"/>
              <w:bottom w:val="single" w:color="auto" w:sz="4" w:space="0"/>
              <w:right w:val="single" w:color="auto" w:sz="4" w:space="0"/>
            </w:tcBorders>
            <w:tcMar>
              <w:top w:w="10" w:type="dxa"/>
              <w:left w:w="10" w:type="dxa"/>
              <w:bottom w:w="0" w:type="dxa"/>
              <w:right w:w="10" w:type="dxa"/>
            </w:tcMar>
            <w:textDirection w:val="tbRlV"/>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产   出（30分）</w:t>
            </w:r>
          </w:p>
        </w:tc>
        <w:tc>
          <w:tcPr>
            <w:tcW w:w="635" w:type="dxa"/>
            <w:vMerge w:val="restart"/>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职责</w:t>
            </w:r>
            <w:r>
              <w:rPr>
                <w:rFonts w:hint="eastAsia" w:ascii="仿宋_GB2312" w:hAnsi="仿宋_GB2312" w:eastAsia="仿宋_GB2312" w:cs="仿宋_GB2312"/>
                <w:sz w:val="21"/>
                <w:szCs w:val="21"/>
              </w:rPr>
              <w:br w:type="textWrapping"/>
            </w:r>
            <w:r>
              <w:rPr>
                <w:rFonts w:hint="eastAsia" w:ascii="仿宋_GB2312" w:hAnsi="仿宋_GB2312" w:eastAsia="仿宋_GB2312" w:cs="仿宋_GB2312"/>
                <w:sz w:val="21"/>
                <w:szCs w:val="21"/>
              </w:rPr>
              <w:t>履行</w:t>
            </w: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实际完成率（8分）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8</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部门履行职责而实际完成工作数与计划工作数的比率，用以反映和考核部门履职工作任务目标的实现程度。</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实际完成率得分=完成市委市政府绩效考核得分或上级主管部门考核指标得分/指标分值*8分</w:t>
            </w:r>
          </w:p>
        </w:tc>
      </w:tr>
      <w:tr>
        <w:tblPrEx>
          <w:tblLayout w:type="fixed"/>
          <w:tblCellMar>
            <w:top w:w="0" w:type="dxa"/>
            <w:left w:w="28" w:type="dxa"/>
            <w:bottom w:w="0" w:type="dxa"/>
            <w:right w:w="28" w:type="dxa"/>
          </w:tblCellMar>
        </w:tblPrEx>
        <w:trPr>
          <w:trHeight w:val="1092" w:hRule="atLeast"/>
          <w:jc w:val="center"/>
        </w:trPr>
        <w:tc>
          <w:tcPr>
            <w:tcW w:w="482"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635"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完成及时率（4分）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4</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部门在规定时限内及时完成的实际工作数与计划工作数的比率,用以反映和考核部门履职时效目标的实现程度。</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完成及时率=（及时完成实际工作数/计划工作数）×100%。1-4季度各得1分</w:t>
            </w:r>
            <w:r>
              <w:rPr>
                <w:rFonts w:hint="eastAsia" w:ascii="仿宋_GB2312" w:hAnsi="仿宋_GB2312" w:eastAsia="仿宋_GB2312" w:cs="仿宋_GB2312"/>
                <w:sz w:val="21"/>
                <w:szCs w:val="21"/>
              </w:rPr>
              <w:br w:type="textWrapping"/>
            </w:r>
          </w:p>
        </w:tc>
      </w:tr>
      <w:tr>
        <w:tblPrEx>
          <w:tblLayout w:type="fixed"/>
          <w:tblCellMar>
            <w:top w:w="0" w:type="dxa"/>
            <w:left w:w="28" w:type="dxa"/>
            <w:bottom w:w="0" w:type="dxa"/>
            <w:right w:w="28" w:type="dxa"/>
          </w:tblCellMar>
        </w:tblPrEx>
        <w:trPr>
          <w:trHeight w:val="362" w:hRule="atLeast"/>
          <w:jc w:val="center"/>
        </w:trPr>
        <w:tc>
          <w:tcPr>
            <w:tcW w:w="482"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635"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质量达标率（8分）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8</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达到质量标准（绩效标准值）的实际工作数与计划工作数的比率,用以反映和考核部门履职质量目标的实现程度。</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质量达标率=（质量达标实际工作数/计划工作数）×100%。实际得分=达标率*8分</w:t>
            </w:r>
          </w:p>
        </w:tc>
      </w:tr>
      <w:tr>
        <w:tblPrEx>
          <w:tblLayout w:type="fixed"/>
          <w:tblCellMar>
            <w:top w:w="0" w:type="dxa"/>
            <w:left w:w="28" w:type="dxa"/>
            <w:bottom w:w="0" w:type="dxa"/>
            <w:right w:w="28" w:type="dxa"/>
          </w:tblCellMar>
        </w:tblPrEx>
        <w:trPr>
          <w:trHeight w:val="1107" w:hRule="atLeast"/>
          <w:jc w:val="center"/>
        </w:trPr>
        <w:tc>
          <w:tcPr>
            <w:tcW w:w="482"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635"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重点工作办结率（10分）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jc w:val="center"/>
              <w:rPr>
                <w:rFonts w:hint="default"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10</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部门年度重点工作实际完成数与交办或下达数的比率，用以反映部门对重点工作的办理落实程度。</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重点工作办结率=（重点工作实际完成数/交办或下达数）×100%。实际得分=办结率*10分</w:t>
            </w:r>
          </w:p>
        </w:tc>
      </w:tr>
      <w:tr>
        <w:tblPrEx>
          <w:tblLayout w:type="fixed"/>
          <w:tblCellMar>
            <w:top w:w="0" w:type="dxa"/>
            <w:left w:w="28" w:type="dxa"/>
            <w:bottom w:w="0" w:type="dxa"/>
            <w:right w:w="28" w:type="dxa"/>
          </w:tblCellMar>
        </w:tblPrEx>
        <w:trPr>
          <w:trHeight w:val="552" w:hRule="atLeast"/>
          <w:jc w:val="center"/>
        </w:trPr>
        <w:tc>
          <w:tcPr>
            <w:tcW w:w="482" w:type="dxa"/>
            <w:vMerge w:val="restart"/>
            <w:tcBorders>
              <w:top w:val="nil"/>
              <w:left w:val="single" w:color="auto" w:sz="4" w:space="0"/>
              <w:bottom w:val="single" w:color="auto" w:sz="4" w:space="0"/>
              <w:right w:val="single" w:color="auto" w:sz="4" w:space="0"/>
            </w:tcBorders>
            <w:tcMar>
              <w:top w:w="10" w:type="dxa"/>
              <w:left w:w="10" w:type="dxa"/>
              <w:bottom w:w="0" w:type="dxa"/>
              <w:right w:w="10" w:type="dxa"/>
            </w:tcMar>
            <w:textDirection w:val="tbRlV"/>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效   果（20分）</w:t>
            </w:r>
          </w:p>
        </w:tc>
        <w:tc>
          <w:tcPr>
            <w:tcW w:w="635" w:type="dxa"/>
            <w:vMerge w:val="restart"/>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履职</w:t>
            </w:r>
            <w:r>
              <w:rPr>
                <w:rFonts w:hint="eastAsia" w:ascii="仿宋_GB2312" w:hAnsi="仿宋_GB2312" w:eastAsia="仿宋_GB2312" w:cs="仿宋_GB2312"/>
                <w:sz w:val="21"/>
                <w:szCs w:val="21"/>
              </w:rPr>
              <w:br w:type="textWrapping"/>
            </w:r>
            <w:r>
              <w:rPr>
                <w:rFonts w:hint="eastAsia" w:ascii="仿宋_GB2312" w:hAnsi="仿宋_GB2312" w:eastAsia="仿宋_GB2312" w:cs="仿宋_GB2312"/>
                <w:sz w:val="21"/>
                <w:szCs w:val="21"/>
              </w:rPr>
              <w:t>效益（20分）</w:t>
            </w: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经济效益（5分）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jc w:val="center"/>
              <w:rPr>
                <w:rFonts w:hint="default"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5</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部门履行职责对经济发展所带来的直接或间接影响。</w:t>
            </w:r>
          </w:p>
        </w:tc>
        <w:tc>
          <w:tcPr>
            <w:tcW w:w="3417" w:type="dxa"/>
            <w:vMerge w:val="restart"/>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rPr>
              <w:t>按经济效益实现程度计算得分（5分）；按社会效益实现程度计算得分（5分）；按生态效益实现程度计算得分（5分）</w:t>
            </w:r>
          </w:p>
        </w:tc>
      </w:tr>
      <w:tr>
        <w:tblPrEx>
          <w:tblLayout w:type="fixed"/>
          <w:tblCellMar>
            <w:top w:w="0" w:type="dxa"/>
            <w:left w:w="28" w:type="dxa"/>
            <w:bottom w:w="0" w:type="dxa"/>
            <w:right w:w="28" w:type="dxa"/>
          </w:tblCellMar>
        </w:tblPrEx>
        <w:trPr>
          <w:trHeight w:val="542" w:hRule="atLeast"/>
          <w:jc w:val="center"/>
        </w:trPr>
        <w:tc>
          <w:tcPr>
            <w:tcW w:w="482"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635"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社会效益（5分）</w:t>
            </w:r>
          </w:p>
        </w:tc>
        <w:tc>
          <w:tcPr>
            <w:tcW w:w="765" w:type="dxa"/>
            <w:tcBorders>
              <w:top w:val="single" w:color="auto" w:sz="4" w:space="0"/>
              <w:left w:val="nil"/>
              <w:bottom w:val="single" w:color="auto" w:sz="4" w:space="0"/>
              <w:right w:val="single" w:color="auto" w:sz="4" w:space="0"/>
            </w:tcBorders>
            <w:vAlign w:val="top"/>
          </w:tcPr>
          <w:p>
            <w:pPr>
              <w:tabs>
                <w:tab w:val="left" w:pos="2604"/>
              </w:tabs>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5</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部门履行职责对社会发展所带来的直接或间接影响。</w:t>
            </w:r>
          </w:p>
        </w:tc>
        <w:tc>
          <w:tcPr>
            <w:tcW w:w="3417"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r>
      <w:tr>
        <w:tblPrEx>
          <w:tblLayout w:type="fixed"/>
          <w:tblCellMar>
            <w:top w:w="0" w:type="dxa"/>
            <w:left w:w="28" w:type="dxa"/>
            <w:bottom w:w="0" w:type="dxa"/>
            <w:right w:w="28" w:type="dxa"/>
          </w:tblCellMar>
        </w:tblPrEx>
        <w:trPr>
          <w:trHeight w:val="557" w:hRule="atLeast"/>
          <w:jc w:val="center"/>
        </w:trPr>
        <w:tc>
          <w:tcPr>
            <w:tcW w:w="482"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635"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生态效益（5分）</w:t>
            </w:r>
          </w:p>
        </w:tc>
        <w:tc>
          <w:tcPr>
            <w:tcW w:w="765" w:type="dxa"/>
            <w:tcBorders>
              <w:top w:val="single" w:color="auto" w:sz="4" w:space="0"/>
              <w:left w:val="nil"/>
              <w:bottom w:val="single" w:color="auto" w:sz="4" w:space="0"/>
              <w:right w:val="single" w:color="auto" w:sz="4" w:space="0"/>
            </w:tcBorders>
            <w:vAlign w:val="top"/>
          </w:tcPr>
          <w:p>
            <w:pPr>
              <w:tabs>
                <w:tab w:val="left" w:pos="2604"/>
              </w:tabs>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5</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部门履行职责对生态环境所带来的直接或间接影响。</w:t>
            </w:r>
          </w:p>
        </w:tc>
        <w:tc>
          <w:tcPr>
            <w:tcW w:w="3417"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r>
      <w:tr>
        <w:tblPrEx>
          <w:tblLayout w:type="fixed"/>
          <w:tblCellMar>
            <w:top w:w="0" w:type="dxa"/>
            <w:left w:w="28" w:type="dxa"/>
            <w:bottom w:w="0" w:type="dxa"/>
            <w:right w:w="28" w:type="dxa"/>
          </w:tblCellMar>
        </w:tblPrEx>
        <w:trPr>
          <w:trHeight w:val="901" w:hRule="atLeast"/>
          <w:jc w:val="center"/>
        </w:trPr>
        <w:tc>
          <w:tcPr>
            <w:tcW w:w="482"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635" w:type="dxa"/>
            <w:vMerge w:val="continue"/>
            <w:tcBorders>
              <w:top w:val="nil"/>
              <w:left w:val="single" w:color="auto" w:sz="4" w:space="0"/>
              <w:bottom w:val="single" w:color="auto" w:sz="4" w:space="0"/>
              <w:right w:val="single" w:color="auto" w:sz="4" w:space="0"/>
            </w:tcBorders>
            <w:vAlign w:val="center"/>
          </w:tcPr>
          <w:p>
            <w:pPr>
              <w:rPr>
                <w:rFonts w:hint="eastAsia" w:ascii="仿宋_GB2312" w:hAnsi="仿宋_GB2312" w:eastAsia="仿宋_GB2312" w:cs="仿宋_GB2312"/>
                <w:sz w:val="21"/>
                <w:szCs w:val="21"/>
              </w:rPr>
            </w:pPr>
          </w:p>
        </w:tc>
        <w:tc>
          <w:tcPr>
            <w:tcW w:w="1085" w:type="dxa"/>
            <w:tcBorders>
              <w:top w:val="nil"/>
              <w:left w:val="nil"/>
              <w:bottom w:val="single" w:color="auto" w:sz="4" w:space="0"/>
              <w:right w:val="single" w:color="auto" w:sz="4" w:space="0"/>
            </w:tcBorders>
            <w:tcMar>
              <w:top w:w="10" w:type="dxa"/>
              <w:left w:w="10" w:type="dxa"/>
              <w:bottom w:w="0" w:type="dxa"/>
              <w:right w:w="10" w:type="dxa"/>
            </w:tcMar>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社会公众或服务对象满意度（5分）</w:t>
            </w:r>
          </w:p>
        </w:tc>
        <w:tc>
          <w:tcPr>
            <w:tcW w:w="765" w:type="dxa"/>
            <w:tcBorders>
              <w:top w:val="single" w:color="auto" w:sz="4" w:space="0"/>
              <w:left w:val="nil"/>
              <w:bottom w:val="single" w:color="auto" w:sz="4" w:space="0"/>
              <w:right w:val="single" w:color="auto" w:sz="4" w:space="0"/>
            </w:tcBorders>
            <w:tcMar>
              <w:top w:w="10" w:type="dxa"/>
              <w:left w:w="10" w:type="dxa"/>
              <w:bottom w:w="0" w:type="dxa"/>
              <w:right w:w="10" w:type="dxa"/>
            </w:tcMar>
            <w:vAlign w:val="top"/>
          </w:tcPr>
          <w:p>
            <w:pPr>
              <w:tabs>
                <w:tab w:val="left" w:pos="2604"/>
              </w:tabs>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5</w:t>
            </w:r>
          </w:p>
        </w:tc>
        <w:tc>
          <w:tcPr>
            <w:tcW w:w="2790" w:type="dxa"/>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社会公众或部门的服务对象对部门履职效果的满意程度。</w:t>
            </w:r>
          </w:p>
        </w:tc>
        <w:tc>
          <w:tcPr>
            <w:tcW w:w="3417" w:type="dxa"/>
            <w:tcBorders>
              <w:top w:val="nil"/>
              <w:left w:val="nil"/>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rPr>
              <w:t>按收集到的服务对象的满意率计算得分（5分）</w:t>
            </w:r>
          </w:p>
        </w:tc>
      </w:tr>
      <w:tr>
        <w:tblPrEx>
          <w:tblLayout w:type="fixed"/>
          <w:tblCellMar>
            <w:top w:w="0" w:type="dxa"/>
            <w:left w:w="28" w:type="dxa"/>
            <w:bottom w:w="0" w:type="dxa"/>
            <w:right w:w="28" w:type="dxa"/>
          </w:tblCellMar>
        </w:tblPrEx>
        <w:trPr>
          <w:trHeight w:val="1247" w:hRule="atLeast"/>
          <w:jc w:val="center"/>
        </w:trPr>
        <w:tc>
          <w:tcPr>
            <w:tcW w:w="2202"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1"/>
                <w:szCs w:val="21"/>
                <w:lang w:eastAsia="zh-CN"/>
              </w:rPr>
            </w:pPr>
            <w:r>
              <w:rPr>
                <w:rFonts w:hint="eastAsia" w:ascii="仿宋_GB2312" w:hAnsi="仿宋_GB2312" w:cs="仿宋_GB2312"/>
                <w:sz w:val="21"/>
                <w:szCs w:val="21"/>
                <w:lang w:eastAsia="zh-CN"/>
              </w:rPr>
              <w:t>合计</w:t>
            </w:r>
          </w:p>
        </w:tc>
        <w:tc>
          <w:tcPr>
            <w:tcW w:w="765" w:type="dxa"/>
            <w:tcBorders>
              <w:top w:val="single" w:color="auto" w:sz="4" w:space="0"/>
              <w:left w:val="single" w:color="auto" w:sz="4" w:space="0"/>
              <w:bottom w:val="single" w:color="auto" w:sz="4" w:space="0"/>
              <w:right w:val="single" w:color="auto" w:sz="4" w:space="0"/>
            </w:tcBorders>
            <w:tcMar>
              <w:top w:w="10" w:type="dxa"/>
              <w:left w:w="10" w:type="dxa"/>
              <w:bottom w:w="0" w:type="dxa"/>
              <w:right w:w="10" w:type="dxa"/>
            </w:tcMar>
            <w:vAlign w:val="top"/>
          </w:tcPr>
          <w:p>
            <w:pPr>
              <w:tabs>
                <w:tab w:val="left" w:pos="2604"/>
              </w:tabs>
              <w:jc w:val="center"/>
              <w:rPr>
                <w:rFonts w:hint="default"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100</w:t>
            </w:r>
          </w:p>
        </w:tc>
        <w:tc>
          <w:tcPr>
            <w:tcW w:w="2790" w:type="dxa"/>
            <w:tcBorders>
              <w:top w:val="single" w:color="auto" w:sz="4" w:space="0"/>
              <w:left w:val="single" w:color="auto" w:sz="4" w:space="0"/>
              <w:bottom w:val="single" w:color="auto" w:sz="4" w:space="0"/>
              <w:right w:val="single" w:color="auto" w:sz="4" w:space="0"/>
            </w:tcBorders>
            <w:tcMar>
              <w:top w:w="10" w:type="dxa"/>
              <w:left w:w="10" w:type="dxa"/>
              <w:bottom w:w="0" w:type="dxa"/>
              <w:right w:w="10" w:type="dxa"/>
            </w:tcMar>
            <w:vAlign w:val="center"/>
          </w:tcPr>
          <w:p>
            <w:pPr>
              <w:tabs>
                <w:tab w:val="left" w:pos="2604"/>
              </w:tabs>
              <w:rPr>
                <w:rFonts w:hint="eastAsia" w:ascii="仿宋_GB2312" w:hAnsi="仿宋_GB2312" w:eastAsia="仿宋_GB2312" w:cs="仿宋_GB2312"/>
                <w:sz w:val="21"/>
                <w:szCs w:val="21"/>
              </w:rPr>
            </w:pPr>
          </w:p>
        </w:tc>
        <w:tc>
          <w:tcPr>
            <w:tcW w:w="3417" w:type="dxa"/>
            <w:tcBorders>
              <w:top w:val="single" w:color="auto" w:sz="4" w:space="0"/>
              <w:left w:val="single" w:color="auto" w:sz="4" w:space="0"/>
              <w:bottom w:val="single" w:color="auto" w:sz="4" w:space="0"/>
              <w:right w:val="single" w:color="auto" w:sz="4" w:space="0"/>
            </w:tcBorders>
            <w:tcMar>
              <w:top w:w="10" w:type="dxa"/>
              <w:left w:w="10" w:type="dxa"/>
              <w:bottom w:w="0" w:type="dxa"/>
              <w:right w:w="10" w:type="dxa"/>
            </w:tcMar>
            <w:vAlign w:val="center"/>
          </w:tcPr>
          <w:p>
            <w:pPr>
              <w:rPr>
                <w:rFonts w:hint="eastAsia" w:ascii="仿宋_GB2312" w:hAnsi="仿宋_GB2312" w:eastAsia="仿宋_GB2312" w:cs="仿宋_GB2312"/>
                <w:kern w:val="0"/>
                <w:sz w:val="21"/>
                <w:szCs w:val="21"/>
              </w:rPr>
            </w:pPr>
          </w:p>
        </w:tc>
      </w:tr>
    </w:tbl>
    <w:p>
      <w:pPr>
        <w:rPr>
          <w:rFonts w:hint="eastAsia" w:ascii="仿宋_GB2312" w:hAnsi="仿宋_GB2312" w:eastAsia="仿宋_GB2312" w:cs="仿宋_GB2312"/>
          <w:sz w:val="24"/>
          <w:szCs w:val="24"/>
        </w:rPr>
      </w:pPr>
    </w:p>
    <w:sectPr>
      <w:footerReference r:id="rId3" w:type="default"/>
      <w:pgSz w:w="11906" w:h="16838"/>
      <w:pgMar w:top="1723" w:right="1800" w:bottom="1723" w:left="1800" w:header="851" w:footer="992"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HorizontalSpacing w:val="3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0F03D1"/>
    <w:rsid w:val="132E4195"/>
    <w:rsid w:val="45FD6295"/>
    <w:rsid w:val="4A1F22B8"/>
    <w:rsid w:val="6D321A9B"/>
    <w:rsid w:val="74B92F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2"/>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jyjcg</dc:creator>
  <cp:lastModifiedBy>Administrator</cp:lastModifiedBy>
  <dcterms:modified xsi:type="dcterms:W3CDTF">2022-03-17T08:05:38Z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