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eastAsia="黑体"/>
          <w:szCs w:val="32"/>
        </w:rPr>
      </w:pPr>
      <w:r>
        <w:rPr>
          <w:rFonts w:hint="eastAsia" w:ascii="黑体" w:eastAsia="黑体"/>
          <w:szCs w:val="32"/>
        </w:rPr>
        <w:t>附件</w:t>
      </w:r>
      <w:r>
        <w:rPr>
          <w:rFonts w:hint="eastAsia" w:ascii="黑体" w:eastAsia="黑体"/>
          <w:szCs w:val="32"/>
          <w:lang w:val="en-US" w:eastAsia="zh-CN"/>
        </w:rPr>
        <w:t>3-2</w:t>
      </w:r>
      <w:r>
        <w:rPr>
          <w:rFonts w:hint="eastAsia" w:ascii="黑体" w:eastAsia="黑体"/>
          <w:szCs w:val="32"/>
        </w:rPr>
        <w:t>：</w:t>
      </w:r>
    </w:p>
    <w:p>
      <w:pPr>
        <w:spacing w:line="600" w:lineRule="exact"/>
        <w:rPr>
          <w:rFonts w:ascii="黑体" w:eastAsia="黑体"/>
          <w:szCs w:val="32"/>
        </w:rPr>
      </w:pPr>
    </w:p>
    <w:p>
      <w:pPr>
        <w:spacing w:line="600" w:lineRule="exact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  <w:lang w:eastAsia="zh-CN"/>
        </w:rPr>
        <w:t>昆明市呈贡区市政管理综合服务中心</w:t>
      </w:r>
      <w:r>
        <w:rPr>
          <w:rFonts w:hint="eastAsia" w:ascii="方正小标宋_GBK" w:eastAsia="方正小标宋_GBK"/>
          <w:sz w:val="36"/>
          <w:szCs w:val="36"/>
        </w:rPr>
        <w:t>整体支出绩效评价报告</w:t>
      </w:r>
    </w:p>
    <w:p>
      <w:pPr>
        <w:spacing w:line="600" w:lineRule="exact"/>
        <w:ind w:firstLine="669" w:firstLineChars="225"/>
        <w:rPr>
          <w:rFonts w:ascii="仿宋_GB2312"/>
          <w:b/>
          <w:szCs w:val="32"/>
        </w:rPr>
      </w:pPr>
    </w:p>
    <w:p>
      <w:pPr>
        <w:topLinePunct/>
        <w:ind w:firstLine="594" w:firstLineChars="200"/>
        <w:rPr>
          <w:rFonts w:ascii="黑体" w:eastAsia="黑体"/>
          <w:szCs w:val="32"/>
        </w:rPr>
      </w:pPr>
      <w:r>
        <w:rPr>
          <w:rFonts w:hint="eastAsia" w:ascii="黑体" w:eastAsia="黑体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pacing w:line="580" w:lineRule="exact"/>
        <w:ind w:firstLine="594" w:firstLineChars="200"/>
        <w:textAlignment w:val="auto"/>
        <w:rPr>
          <w:rFonts w:hint="eastAsia" w:ascii="楷体" w:hAnsi="楷体" w:eastAsia="楷体" w:cs="楷体"/>
          <w:b/>
          <w:bCs/>
          <w:szCs w:val="32"/>
        </w:rPr>
      </w:pPr>
      <w:r>
        <w:rPr>
          <w:rFonts w:hint="eastAsia" w:ascii="楷体" w:hAnsi="楷体" w:eastAsia="楷体" w:cs="楷体"/>
          <w:b/>
          <w:bCs/>
          <w:szCs w:val="32"/>
        </w:rPr>
        <w:t>（一）部门整体支出概况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 w:val="0"/>
        <w:spacing w:line="580" w:lineRule="exact"/>
        <w:ind w:firstLine="594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楷体" w:hAnsi="楷体" w:eastAsia="楷体" w:cs="楷体"/>
          <w:b/>
          <w:bCs/>
          <w:szCs w:val="32"/>
        </w:rPr>
        <w:t>部门整体</w:t>
      </w:r>
      <w:r>
        <w:rPr>
          <w:rFonts w:hint="eastAsia" w:ascii="楷体" w:hAnsi="楷体" w:eastAsia="楷体" w:cs="楷体"/>
          <w:b/>
          <w:bCs/>
          <w:szCs w:val="32"/>
          <w:lang w:val="en-US" w:eastAsia="zh-CN"/>
        </w:rPr>
        <w:t>收入情况：</w:t>
      </w:r>
      <w:r>
        <w:rPr>
          <w:rFonts w:hint="eastAsia" w:ascii="仿宋_GB2312" w:hAnsi="仿宋"/>
          <w:sz w:val="32"/>
          <w:szCs w:val="32"/>
          <w:lang w:val="en-US" w:eastAsia="zh-CN"/>
        </w:rPr>
        <w:t>2021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年度一般公共预算财政拨款收入</w:t>
      </w:r>
      <w:r>
        <w:rPr>
          <w:rFonts w:hint="eastAsia" w:ascii="仿宋_GB2312" w:hAnsi="仿宋"/>
          <w:sz w:val="32"/>
          <w:szCs w:val="32"/>
          <w:lang w:val="en-US" w:eastAsia="zh-CN"/>
        </w:rPr>
        <w:t>238986685.64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元,占本年收入合计的</w:t>
      </w:r>
      <w:r>
        <w:rPr>
          <w:rFonts w:hint="eastAsia" w:ascii="仿宋_GB2312" w:hAnsi="仿宋"/>
          <w:sz w:val="32"/>
          <w:szCs w:val="32"/>
          <w:lang w:val="en-US" w:eastAsia="zh-CN"/>
        </w:rPr>
        <w:t>99.33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"/>
          <w:sz w:val="32"/>
          <w:szCs w:val="32"/>
          <w:lang w:val="en-US" w:eastAsia="zh-CN"/>
        </w:rPr>
        <w:t>；政府性基金预算财政拨款收入1605703.13元，占本年收入合计的0.67%。年初结转和结余881787.29元。</w:t>
      </w:r>
    </w:p>
    <w:p>
      <w:pPr>
        <w:snapToGrid w:val="0"/>
        <w:spacing w:line="520" w:lineRule="exact"/>
        <w:ind w:firstLine="594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Cs w:val="32"/>
        </w:rPr>
        <w:t>部门整体</w:t>
      </w:r>
      <w:r>
        <w:rPr>
          <w:rFonts w:hint="eastAsia" w:ascii="楷体" w:hAnsi="楷体" w:eastAsia="楷体" w:cs="楷体"/>
          <w:b/>
          <w:bCs/>
          <w:szCs w:val="32"/>
          <w:lang w:val="en-US" w:eastAsia="zh-CN"/>
        </w:rPr>
        <w:t>支出情况：</w:t>
      </w:r>
      <w:r>
        <w:rPr>
          <w:rFonts w:hint="eastAsia" w:ascii="仿宋_GB2312" w:hAnsi="仿宋"/>
          <w:sz w:val="32"/>
          <w:szCs w:val="32"/>
          <w:lang w:eastAsia="zh-CN"/>
        </w:rPr>
        <w:t>2021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/>
          <w:sz w:val="32"/>
          <w:szCs w:val="32"/>
          <w:lang w:val="en-US" w:eastAsia="zh-CN"/>
        </w:rPr>
        <w:t>本年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hAnsi="仿宋"/>
          <w:sz w:val="32"/>
          <w:szCs w:val="32"/>
          <w:lang w:val="en-US" w:eastAsia="zh-CN"/>
        </w:rPr>
        <w:t>241473704.56</w:t>
      </w:r>
      <w:r>
        <w:rPr>
          <w:rFonts w:hint="eastAsia" w:ascii="仿宋_GB2312" w:hAnsi="仿宋" w:eastAsia="仿宋_GB2312"/>
          <w:sz w:val="32"/>
          <w:szCs w:val="32"/>
        </w:rPr>
        <w:t>元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其中：教育支出</w:t>
      </w:r>
      <w:r>
        <w:rPr>
          <w:rFonts w:hint="eastAsia" w:ascii="仿宋_GB2312" w:hAnsi="仿宋"/>
          <w:sz w:val="32"/>
          <w:szCs w:val="32"/>
          <w:lang w:val="en-US" w:eastAsia="zh-CN"/>
        </w:rPr>
        <w:t>9100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元，社会保障和就业支出</w:t>
      </w:r>
      <w:r>
        <w:rPr>
          <w:rFonts w:hint="eastAsia" w:ascii="仿宋_GB2312" w:hAnsi="仿宋" w:eastAsia="仿宋_GB2312"/>
          <w:sz w:val="32"/>
          <w:szCs w:val="32"/>
        </w:rPr>
        <w:t>1095964.07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元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/>
          <w:sz w:val="32"/>
          <w:szCs w:val="32"/>
          <w:lang w:val="en-US" w:eastAsia="zh-CN"/>
        </w:rPr>
        <w:t>卫生健康支出415227.98，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城乡社区支出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239212030.51元，住房保障支出741382元。</w:t>
      </w:r>
    </w:p>
    <w:p>
      <w:pPr>
        <w:snapToGrid w:val="0"/>
        <w:spacing w:line="520" w:lineRule="exact"/>
        <w:ind w:firstLine="594" w:firstLineChars="200"/>
        <w:rPr>
          <w:rFonts w:hint="eastAsia" w:ascii="仿宋_GB2312" w:hAnsi="仿宋"/>
          <w:sz w:val="32"/>
          <w:szCs w:val="32"/>
          <w:lang w:val="en-US" w:eastAsia="zh-CN"/>
        </w:rPr>
      </w:pPr>
      <w:r>
        <w:rPr>
          <w:rFonts w:hint="eastAsia" w:ascii="楷体_GB2312" w:hAnsi="仿宋" w:eastAsia="楷体_GB2312"/>
          <w:b/>
          <w:sz w:val="32"/>
          <w:szCs w:val="32"/>
        </w:rPr>
        <w:t>年末结转和结余情况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hAnsi="仿宋"/>
          <w:sz w:val="32"/>
          <w:szCs w:val="32"/>
          <w:lang w:val="en-US" w:eastAsia="zh-CN"/>
        </w:rPr>
        <w:t>2021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年年末结转和结余471.5元，其中基本支出年初结转471.5元</w:t>
      </w:r>
      <w:r>
        <w:rPr>
          <w:rFonts w:hint="eastAsia" w:ascii="仿宋_GB2312" w:hAnsi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/>
        <w:spacing w:line="580" w:lineRule="exact"/>
        <w:ind w:firstLine="594" w:firstLineChars="200"/>
        <w:textAlignment w:val="auto"/>
        <w:rPr>
          <w:rFonts w:hint="eastAsia" w:ascii="仿宋_GB2312" w:hAnsi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Cs w:val="32"/>
        </w:rPr>
        <w:t>部门整体支出绩效目标</w:t>
      </w:r>
      <w:r>
        <w:rPr>
          <w:rFonts w:hint="eastAsia" w:ascii="楷体" w:hAnsi="楷体" w:eastAsia="楷体" w:cs="楷体"/>
          <w:b/>
          <w:bCs/>
          <w:szCs w:val="32"/>
          <w:lang w:eastAsia="zh-CN"/>
        </w:rPr>
        <w:t>、</w:t>
      </w:r>
      <w:r>
        <w:rPr>
          <w:rFonts w:hint="eastAsia" w:ascii="楷体" w:hAnsi="楷体" w:eastAsia="楷体" w:cs="楷体"/>
          <w:b/>
          <w:bCs/>
          <w:szCs w:val="32"/>
        </w:rPr>
        <w:t>预决算公开</w:t>
      </w:r>
      <w:r>
        <w:rPr>
          <w:rFonts w:hint="eastAsia" w:ascii="楷体" w:hAnsi="楷体" w:eastAsia="楷体" w:cs="楷体"/>
          <w:b/>
          <w:bCs/>
          <w:szCs w:val="32"/>
          <w:lang w:eastAsia="zh-CN"/>
        </w:rPr>
        <w:t>、</w:t>
      </w:r>
      <w:r>
        <w:rPr>
          <w:rFonts w:hint="eastAsia" w:ascii="楷体" w:hAnsi="楷体" w:eastAsia="楷体" w:cs="楷体"/>
          <w:b/>
          <w:bCs/>
          <w:szCs w:val="32"/>
        </w:rPr>
        <w:t>存量资金管理</w:t>
      </w:r>
      <w:r>
        <w:rPr>
          <w:rFonts w:hint="eastAsia" w:ascii="楷体" w:hAnsi="楷体" w:eastAsia="楷体" w:cs="楷体"/>
          <w:b/>
          <w:bCs/>
          <w:szCs w:val="32"/>
          <w:lang w:eastAsia="zh-CN"/>
        </w:rPr>
        <w:t>、</w:t>
      </w:r>
      <w:r>
        <w:rPr>
          <w:rFonts w:hint="eastAsia" w:ascii="楷体" w:hAnsi="楷体" w:eastAsia="楷体" w:cs="楷体"/>
          <w:b/>
          <w:bCs/>
          <w:szCs w:val="32"/>
        </w:rPr>
        <w:t>三公经费控制</w:t>
      </w:r>
      <w:r>
        <w:rPr>
          <w:rFonts w:hint="eastAsia" w:ascii="楷体" w:hAnsi="楷体" w:eastAsia="楷体" w:cs="楷体"/>
          <w:b/>
          <w:bCs/>
          <w:szCs w:val="32"/>
          <w:lang w:eastAsia="zh-CN"/>
        </w:rPr>
        <w:t>、</w:t>
      </w:r>
      <w:r>
        <w:rPr>
          <w:rFonts w:hint="eastAsia" w:ascii="楷体" w:hAnsi="楷体" w:eastAsia="楷体" w:cs="楷体"/>
          <w:b/>
          <w:bCs/>
          <w:szCs w:val="32"/>
        </w:rPr>
        <w:t>内部管理制度建设</w:t>
      </w:r>
    </w:p>
    <w:p>
      <w:pPr>
        <w:topLinePunct/>
        <w:ind w:firstLine="594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eastAsia="zh-CN"/>
        </w:rPr>
        <w:t>昆明市呈贡区市政管理综合服务中心</w:t>
      </w:r>
      <w:r>
        <w:rPr>
          <w:rFonts w:hint="eastAsia" w:ascii="仿宋_GB2312"/>
          <w:szCs w:val="32"/>
          <w:lang w:val="en-US" w:eastAsia="zh-CN"/>
        </w:rPr>
        <w:t>2021年度预算</w:t>
      </w:r>
      <w:r>
        <w:rPr>
          <w:rFonts w:hint="eastAsia" w:ascii="仿宋_GB2312"/>
          <w:szCs w:val="32"/>
        </w:rPr>
        <w:t>整体支出绩效目标</w:t>
      </w:r>
      <w:r>
        <w:rPr>
          <w:rFonts w:hint="eastAsia" w:ascii="仿宋_GB2312"/>
          <w:szCs w:val="32"/>
          <w:lang w:eastAsia="zh-CN"/>
        </w:rPr>
        <w:t>已完成，并对</w:t>
      </w:r>
      <w:r>
        <w:rPr>
          <w:rFonts w:hint="eastAsia" w:ascii="仿宋_GB2312"/>
          <w:szCs w:val="32"/>
        </w:rPr>
        <w:t>预决算</w:t>
      </w:r>
      <w:r>
        <w:rPr>
          <w:rFonts w:hint="eastAsia" w:ascii="仿宋_GB2312"/>
          <w:szCs w:val="32"/>
          <w:lang w:eastAsia="zh-CN"/>
        </w:rPr>
        <w:t>进行了</w:t>
      </w:r>
      <w:r>
        <w:rPr>
          <w:rFonts w:hint="eastAsia" w:ascii="仿宋_GB2312"/>
          <w:szCs w:val="32"/>
        </w:rPr>
        <w:t>公开</w:t>
      </w:r>
      <w:r>
        <w:rPr>
          <w:rFonts w:hint="eastAsia" w:ascii="仿宋_GB2312"/>
          <w:szCs w:val="32"/>
          <w:lang w:eastAsia="zh-CN"/>
        </w:rPr>
        <w:t>，存量资金严格按照区城管局财务管理制度进行管理，市政中心没有三公经费，积极配合局财务完善了财务制度，市政中心所有项目绩效总目标和阶段性目标均按时完成，通过绩效目标跟踪，预算资金合理使用，达到了预期经济、社会效益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/>
        <w:spacing w:line="580" w:lineRule="exact"/>
        <w:ind w:firstLine="594" w:firstLineChars="200"/>
        <w:textAlignment w:val="auto"/>
        <w:rPr>
          <w:rFonts w:hint="eastAsia" w:ascii="楷体" w:hAnsi="楷体" w:eastAsia="楷体" w:cs="楷体"/>
          <w:b/>
          <w:bCs/>
          <w:szCs w:val="32"/>
        </w:rPr>
      </w:pPr>
      <w:r>
        <w:rPr>
          <w:rFonts w:hint="eastAsia" w:ascii="楷体" w:hAnsi="楷体" w:eastAsia="楷体" w:cs="楷体"/>
          <w:b/>
          <w:bCs/>
          <w:szCs w:val="32"/>
        </w:rPr>
        <w:t>部门整体支出或项目实施情况分析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 w:val="0"/>
        <w:spacing w:line="580" w:lineRule="exact"/>
        <w:ind w:firstLine="594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_GB2312" w:hAnsi="仿宋"/>
          <w:sz w:val="32"/>
          <w:szCs w:val="32"/>
          <w:lang w:val="en-US" w:eastAsia="zh-CN"/>
        </w:rPr>
        <w:t>昆明市呈贡区市政管理综合服务中心2021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年度一般公共预算财政拨款收入共</w:t>
      </w:r>
      <w:r>
        <w:rPr>
          <w:rFonts w:hint="eastAsia" w:ascii="仿宋_GB2312" w:hAnsi="仿宋"/>
          <w:sz w:val="32"/>
          <w:szCs w:val="32"/>
          <w:lang w:val="en-US" w:eastAsia="zh-CN"/>
        </w:rPr>
        <w:t>238986685.64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元,占本年收入合计的</w:t>
      </w:r>
      <w:r>
        <w:rPr>
          <w:rFonts w:hint="eastAsia" w:ascii="仿宋_GB2312" w:hAnsi="仿宋"/>
          <w:sz w:val="32"/>
          <w:szCs w:val="32"/>
          <w:lang w:val="en-US" w:eastAsia="zh-CN"/>
        </w:rPr>
        <w:t>99.33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"/>
          <w:sz w:val="32"/>
          <w:szCs w:val="32"/>
          <w:lang w:val="en-US" w:eastAsia="zh-CN"/>
        </w:rPr>
        <w:t>；政府性基金预算财政拨款收入1605703.13元，占本年收入合计的0.67%。年初结转和结余881787.29元。</w:t>
      </w:r>
    </w:p>
    <w:p>
      <w:pPr>
        <w:snapToGrid w:val="0"/>
        <w:spacing w:line="520" w:lineRule="exact"/>
        <w:ind w:firstLine="594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/>
          <w:sz w:val="32"/>
          <w:szCs w:val="32"/>
          <w:lang w:val="en-US" w:eastAsia="zh-CN"/>
        </w:rPr>
        <w:t>2021年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hAnsi="仿宋"/>
          <w:sz w:val="32"/>
          <w:szCs w:val="32"/>
          <w:lang w:val="en-US" w:eastAsia="zh-CN"/>
        </w:rPr>
        <w:t>241473704.56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元，其中基本支出9624130.17元，</w:t>
      </w:r>
      <w:r>
        <w:rPr>
          <w:rFonts w:hint="eastAsia" w:ascii="仿宋_GB2312" w:hAnsi="仿宋"/>
          <w:sz w:val="32"/>
          <w:szCs w:val="32"/>
          <w:lang w:val="en-US" w:eastAsia="zh-CN"/>
        </w:rPr>
        <w:t>包含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人员经费支出9150580.36元</w:t>
      </w:r>
      <w:r>
        <w:rPr>
          <w:rFonts w:hint="eastAsia" w:ascii="仿宋_GB2312" w:hAnsi="仿宋"/>
          <w:sz w:val="32"/>
          <w:szCs w:val="32"/>
          <w:lang w:val="en-US" w:eastAsia="zh-CN"/>
        </w:rPr>
        <w:t>，日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常公用经费473549.81元</w:t>
      </w:r>
      <w:r>
        <w:rPr>
          <w:rFonts w:hint="eastAsia" w:ascii="仿宋_GB2312" w:hAnsi="仿宋"/>
          <w:sz w:val="32"/>
          <w:szCs w:val="32"/>
          <w:lang w:val="en-US" w:eastAsia="zh-CN"/>
        </w:rPr>
        <w:t>；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项目支出共231849574.39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元。</w:t>
      </w:r>
    </w:p>
    <w:p>
      <w:pPr>
        <w:topLinePunct/>
        <w:ind w:firstLine="594" w:firstLineChars="200"/>
        <w:rPr>
          <w:rFonts w:hint="eastAsia" w:ascii="仿宋_GB2312" w:eastAsia="仿宋_GB2312"/>
          <w:szCs w:val="32"/>
          <w:lang w:val="en-US" w:eastAsia="zh-CN"/>
        </w:rPr>
      </w:pPr>
      <w:r>
        <w:rPr>
          <w:rFonts w:hint="eastAsia" w:ascii="仿宋_GB2312"/>
          <w:szCs w:val="32"/>
          <w:lang w:eastAsia="zh-CN"/>
        </w:rPr>
        <w:t>昆明市呈贡区市政管理综合服务中心</w:t>
      </w:r>
      <w:r>
        <w:rPr>
          <w:rFonts w:hint="eastAsia" w:ascii="仿宋_GB2312"/>
          <w:szCs w:val="32"/>
          <w:lang w:val="en-US" w:eastAsia="zh-CN"/>
        </w:rPr>
        <w:t>2021年预算资金到位率100%，资金使用按照项目合同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政府采购实施，</w:t>
      </w:r>
      <w:r>
        <w:rPr>
          <w:rFonts w:hint="eastAsia" w:ascii="仿宋_GB2312" w:hAnsi="Times New Roman" w:cs="Times New Roman"/>
          <w:color w:val="000000"/>
          <w:kern w:val="0"/>
          <w:sz w:val="32"/>
          <w:szCs w:val="32"/>
          <w:lang w:eastAsia="zh-CN"/>
        </w:rPr>
        <w:t>资金管理严格按照区城管局财务管理制度进行管理，所有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项目实施有专人管理负责</w:t>
      </w:r>
      <w:r>
        <w:rPr>
          <w:rFonts w:hint="eastAsia" w:ascii="仿宋_GB2312" w:hAnsi="Times New Roman" w:cs="Times New Roman"/>
          <w:color w:val="000000"/>
          <w:kern w:val="0"/>
          <w:sz w:val="32"/>
          <w:szCs w:val="32"/>
          <w:lang w:eastAsia="zh-CN"/>
        </w:rPr>
        <w:t>，做到专管专用</w:t>
      </w:r>
      <w:r>
        <w:rPr>
          <w:rFonts w:hint="eastAsia" w:ascii="仿宋_GB2312"/>
          <w:szCs w:val="32"/>
        </w:rPr>
        <w:t>。</w:t>
      </w:r>
    </w:p>
    <w:p>
      <w:pPr>
        <w:topLinePunct/>
        <w:ind w:firstLine="594" w:firstLineChars="200"/>
        <w:rPr>
          <w:rFonts w:ascii="黑体" w:eastAsia="黑体"/>
          <w:szCs w:val="32"/>
        </w:rPr>
      </w:pPr>
      <w:r>
        <w:rPr>
          <w:rFonts w:hint="eastAsia" w:ascii="黑体" w:eastAsia="黑体"/>
          <w:szCs w:val="32"/>
        </w:rPr>
        <w:t>二、绩效评价工作情况</w:t>
      </w:r>
    </w:p>
    <w:p>
      <w:pPr>
        <w:topLinePunct/>
        <w:ind w:firstLine="594" w:firstLineChars="200"/>
        <w:jc w:val="both"/>
        <w:rPr>
          <w:rFonts w:hint="eastAsia" w:ascii="仿宋_GB2312" w:hAnsi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绩效评价目的。严格落实《预算法》及区绩效管理工作的有关规定，进一步规范财政资金的管理，强化财政支出绩效理念，提升部门责任意识，提高资金使用效益，促进环保事业的发展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，通过绩效评价，使预算资金得到充分利用，城市管理精华化水平更上一层楼。</w:t>
      </w:r>
    </w:p>
    <w:p>
      <w:pPr>
        <w:topLinePunct/>
        <w:ind w:firstLine="594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二）绩效评价工作过程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根据绩效评价的要求，成立了自评工作领导小组，对照自评方案进行研究和布署，按照自评方案的要求，对照各实施项目的内容逐条逐项自评。严格按照年初预算进行部门整体支出。在支出过程中，能严格遵守各项规章制度。所有项目都详细制定了方案，严格按照方案组织实施，并加强了监督。在经费支出上，专款专用，按项目实施计划的进度情况进行资金拨付，无截留、挪用等现象。完成了确定的目标任务。实行了先有预算、后有执行、“用钱必问效、无效必问责”的新常态。</w:t>
      </w:r>
    </w:p>
    <w:p>
      <w:pPr>
        <w:topLinePunct/>
        <w:ind w:firstLine="594" w:firstLineChars="200"/>
        <w:rPr>
          <w:rFonts w:ascii="黑体" w:eastAsia="黑体"/>
          <w:szCs w:val="32"/>
        </w:rPr>
      </w:pPr>
      <w:r>
        <w:rPr>
          <w:rFonts w:hint="eastAsia" w:ascii="黑体" w:eastAsia="黑体"/>
          <w:szCs w:val="32"/>
        </w:rPr>
        <w:t>三、主要绩效及评价结论</w:t>
      </w:r>
    </w:p>
    <w:p>
      <w:pPr>
        <w:topLinePunct/>
        <w:ind w:firstLine="594" w:firstLineChars="200"/>
        <w:jc w:val="both"/>
        <w:rPr>
          <w:rFonts w:ascii="仿宋_GB2312"/>
          <w:szCs w:val="32"/>
        </w:rPr>
      </w:pP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、经济性分析，</w:t>
      </w:r>
      <w:r>
        <w:rPr>
          <w:rFonts w:hint="eastAsia" w:ascii="仿宋" w:hAnsi="仿宋" w:eastAsia="仿宋" w:cs="仿宋"/>
          <w:szCs w:val="32"/>
          <w:lang w:val="en-US" w:eastAsia="zh-CN"/>
        </w:rPr>
        <w:t>严格遵守项目资金专款专用原则，通过政府采购和内控制度相结合，基本达到项目成本节约目的。通过精细化管理，提高城市管理效率，从而降低城市管理成本，进一步节约了财政资金，提高了财政资金使用效益。</w:t>
      </w:r>
    </w:p>
    <w:p>
      <w:pPr>
        <w:topLinePunct/>
        <w:ind w:firstLine="594" w:firstLineChars="200"/>
        <w:jc w:val="both"/>
        <w:rPr>
          <w:rFonts w:ascii="仿宋_GB2312"/>
          <w:szCs w:val="32"/>
        </w:rPr>
      </w:pP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、效率性分析，</w:t>
      </w:r>
      <w:r>
        <w:rPr>
          <w:rFonts w:hint="eastAsia" w:ascii="仿宋_GB2312"/>
          <w:szCs w:val="32"/>
          <w:lang w:eastAsia="zh-CN"/>
        </w:rPr>
        <w:t>市政中心所有项目均按照合同进行，没有踏进度，所有项目均按时完成</w:t>
      </w:r>
      <w:r>
        <w:rPr>
          <w:rFonts w:hint="eastAsia" w:ascii="仿宋_GB2312"/>
          <w:szCs w:val="32"/>
        </w:rPr>
        <w:t>。</w:t>
      </w:r>
    </w:p>
    <w:p>
      <w:pPr>
        <w:topLinePunct/>
        <w:ind w:firstLine="594" w:firstLineChars="200"/>
        <w:jc w:val="both"/>
        <w:rPr>
          <w:rFonts w:ascii="仿宋_GB2312"/>
          <w:szCs w:val="32"/>
        </w:rPr>
      </w:pP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、效益性分析，</w:t>
      </w:r>
      <w:r>
        <w:rPr>
          <w:rFonts w:hint="eastAsia" w:ascii="仿宋_GB2312"/>
          <w:szCs w:val="32"/>
          <w:lang w:eastAsia="zh-CN"/>
        </w:rPr>
        <w:t>通过市政中心各项项目的实施，有效的提高了呈贡新区城市面貌，人居环境作用明显改善。</w:t>
      </w:r>
    </w:p>
    <w:p>
      <w:pPr>
        <w:numPr>
          <w:ilvl w:val="0"/>
          <w:numId w:val="2"/>
        </w:numPr>
        <w:topLinePunct/>
        <w:ind w:firstLine="594" w:firstLineChars="200"/>
        <w:rPr>
          <w:rFonts w:hint="eastAsia" w:ascii="黑体" w:eastAsia="黑体"/>
          <w:szCs w:val="32"/>
        </w:rPr>
      </w:pPr>
      <w:r>
        <w:rPr>
          <w:rFonts w:hint="eastAsia" w:ascii="黑体" w:eastAsia="黑体"/>
          <w:szCs w:val="32"/>
        </w:rPr>
        <w:t>存在的问题</w:t>
      </w:r>
    </w:p>
    <w:p>
      <w:pPr>
        <w:topLinePunct/>
        <w:ind w:firstLine="594" w:firstLineChars="200"/>
        <w:jc w:val="both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一是资金使用效益有待进一步提高。二是绩效目标设立不够明确、细化和量化。</w:t>
      </w:r>
    </w:p>
    <w:p>
      <w:pPr>
        <w:numPr>
          <w:ilvl w:val="0"/>
          <w:numId w:val="2"/>
        </w:numPr>
        <w:topLinePunct/>
        <w:ind w:left="0" w:leftChars="0" w:firstLine="594" w:firstLineChars="200"/>
        <w:rPr>
          <w:rFonts w:hint="eastAsia" w:ascii="黑体" w:eastAsia="黑体"/>
          <w:szCs w:val="32"/>
        </w:rPr>
      </w:pPr>
      <w:r>
        <w:rPr>
          <w:rFonts w:hint="eastAsia" w:ascii="黑体" w:eastAsia="黑体"/>
          <w:szCs w:val="32"/>
        </w:rPr>
        <w:t>有关建议</w:t>
      </w:r>
    </w:p>
    <w:p>
      <w:pPr>
        <w:topLinePunct/>
        <w:ind w:firstLine="594" w:firstLineChars="200"/>
        <w:jc w:val="both"/>
        <w:rPr>
          <w:rFonts w:hint="eastAsia" w:ascii="仿宋_GB2312"/>
          <w:szCs w:val="32"/>
          <w:lang w:eastAsia="zh-CN"/>
        </w:rPr>
      </w:pPr>
      <w:r>
        <w:rPr>
          <w:rFonts w:hint="eastAsia" w:ascii="仿宋_GB2312"/>
          <w:szCs w:val="32"/>
          <w:lang w:eastAsia="zh-CN"/>
        </w:rPr>
        <w:t>无</w:t>
      </w:r>
    </w:p>
    <w:p>
      <w:pPr>
        <w:topLinePunct/>
        <w:ind w:firstLine="594" w:firstLineChars="200"/>
        <w:rPr>
          <w:rFonts w:ascii="黑体" w:eastAsia="黑体"/>
          <w:szCs w:val="32"/>
        </w:rPr>
      </w:pPr>
      <w:r>
        <w:rPr>
          <w:rFonts w:hint="eastAsia" w:ascii="黑体" w:eastAsia="黑体"/>
          <w:szCs w:val="32"/>
        </w:rPr>
        <w:t>六、其他需要说明的问题</w:t>
      </w:r>
    </w:p>
    <w:p>
      <w:pPr>
        <w:ind w:firstLine="59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无</w:t>
      </w:r>
    </w:p>
    <w:p>
      <w:pPr>
        <w:ind w:firstLine="593"/>
        <w:rPr>
          <w:rFonts w:hint="default"/>
          <w:lang w:val="en-US" w:eastAsia="zh-CN"/>
        </w:rPr>
      </w:pPr>
    </w:p>
    <w:p>
      <w:pPr>
        <w:ind w:firstLine="593"/>
        <w:rPr>
          <w:rFonts w:hint="default"/>
          <w:lang w:val="en-US" w:eastAsia="zh-CN"/>
        </w:rPr>
      </w:pPr>
    </w:p>
    <w:p>
      <w:pPr>
        <w:ind w:firstLine="593"/>
        <w:rPr>
          <w:rFonts w:hint="default"/>
          <w:lang w:val="en-US" w:eastAsia="zh-CN"/>
        </w:rPr>
      </w:pPr>
    </w:p>
    <w:p>
      <w:pPr>
        <w:ind w:firstLine="593"/>
        <w:rPr>
          <w:rFonts w:hint="eastAsia" w:ascii="仿宋_GB2312"/>
          <w:szCs w:val="32"/>
          <w:lang w:eastAsia="zh-CN"/>
        </w:rPr>
      </w:pPr>
      <w:r>
        <w:rPr>
          <w:rFonts w:hint="eastAsia"/>
          <w:lang w:val="en-US" w:eastAsia="zh-CN"/>
        </w:rPr>
        <w:t xml:space="preserve">                    </w:t>
      </w:r>
      <w:r>
        <w:rPr>
          <w:rFonts w:hint="eastAsia" w:ascii="仿宋_GB2312"/>
          <w:szCs w:val="32"/>
          <w:lang w:eastAsia="zh-CN"/>
        </w:rPr>
        <w:t>昆明市呈贡区市政管理综合服务中心</w:t>
      </w:r>
    </w:p>
    <w:p>
      <w:pPr>
        <w:ind w:firstLine="593"/>
        <w:rPr>
          <w:rFonts w:hint="default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 xml:space="preserve">                            2022年3月17日</w:t>
      </w:r>
    </w:p>
    <w:sectPr>
      <w:pgSz w:w="11906" w:h="16838"/>
      <w:pgMar w:top="1723" w:right="1800" w:bottom="1723" w:left="1800" w:header="851" w:footer="992" w:gutter="0"/>
      <w:cols w:space="0" w:num="1"/>
      <w:rtlGutter w:val="0"/>
      <w:docGrid w:type="linesAndChars" w:linePitch="608" w:charSpace="-47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AA6359"/>
    <w:multiLevelType w:val="singleLevel"/>
    <w:tmpl w:val="52AA635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E8BC0D8"/>
    <w:multiLevelType w:val="singleLevel"/>
    <w:tmpl w:val="6E8BC0D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48"/>
  <w:drawingGridVerticalSpacing w:val="304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517E27"/>
    <w:rsid w:val="15EB411E"/>
    <w:rsid w:val="16EB58BA"/>
    <w:rsid w:val="199B78BE"/>
    <w:rsid w:val="1A055A28"/>
    <w:rsid w:val="1AFC751C"/>
    <w:rsid w:val="40193408"/>
    <w:rsid w:val="40B2169B"/>
    <w:rsid w:val="411B32C9"/>
    <w:rsid w:val="520B2BD2"/>
    <w:rsid w:val="53636E57"/>
    <w:rsid w:val="53C81402"/>
    <w:rsid w:val="6DBE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pPr>
      <w:jc w:val="both"/>
    </w:pPr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jyjcg</dc:creator>
  <cp:lastModifiedBy>跳夏威夷呼啦舞的塔噜啦</cp:lastModifiedBy>
  <dcterms:modified xsi:type="dcterms:W3CDTF">2022-03-21T07:01:32Z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F1EE4E20761A4DDDAC344E5940156043</vt:lpwstr>
  </property>
</Properties>
</file>