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eastAsia="黑体"/>
          <w:szCs w:val="32"/>
        </w:rPr>
      </w:pPr>
      <w:r>
        <w:rPr>
          <w:rFonts w:hint="eastAsia" w:ascii="黑体" w:eastAsia="黑体"/>
          <w:szCs w:val="32"/>
        </w:rPr>
        <w:t>附件</w:t>
      </w:r>
      <w:r>
        <w:rPr>
          <w:rFonts w:hint="eastAsia" w:ascii="黑体" w:eastAsia="黑体"/>
          <w:szCs w:val="32"/>
          <w:lang w:val="en-US" w:eastAsia="zh-CN"/>
        </w:rPr>
        <w:t>3-2</w:t>
      </w:r>
      <w:r>
        <w:rPr>
          <w:rFonts w:hint="eastAsia" w:ascii="黑体" w:eastAsia="黑体"/>
          <w:szCs w:val="32"/>
        </w:rPr>
        <w:t>：</w:t>
      </w:r>
    </w:p>
    <w:p>
      <w:pPr>
        <w:spacing w:line="600" w:lineRule="exact"/>
        <w:rPr>
          <w:rFonts w:ascii="黑体" w:eastAsia="黑体"/>
          <w:szCs w:val="32"/>
        </w:rPr>
      </w:pPr>
    </w:p>
    <w:p>
      <w:pPr>
        <w:spacing w:line="600" w:lineRule="exact"/>
        <w:jc w:val="center"/>
        <w:rPr>
          <w:rFonts w:hint="eastAsia" w:ascii="方正小标宋_GBK" w:eastAsia="方正小标宋_GBK"/>
          <w:sz w:val="36"/>
          <w:szCs w:val="36"/>
          <w:lang w:eastAsia="zh-CN"/>
        </w:rPr>
      </w:pPr>
      <w:r>
        <w:rPr>
          <w:rFonts w:hint="eastAsia" w:ascii="方正小标宋_GBK" w:eastAsia="方正小标宋_GBK"/>
          <w:sz w:val="36"/>
          <w:szCs w:val="36"/>
          <w:lang w:eastAsia="zh-CN"/>
        </w:rPr>
        <w:t>昆明市呈贡区城市管理综合行政执法大队</w:t>
      </w:r>
    </w:p>
    <w:p>
      <w:pPr>
        <w:spacing w:line="600" w:lineRule="exact"/>
        <w:jc w:val="center"/>
        <w:rPr>
          <w:rFonts w:ascii="方正小标宋_GBK" w:eastAsia="方正小标宋_GBK"/>
          <w:sz w:val="36"/>
          <w:szCs w:val="36"/>
        </w:rPr>
      </w:pPr>
      <w:r>
        <w:rPr>
          <w:rFonts w:hint="eastAsia" w:ascii="方正小标宋_GBK" w:eastAsia="方正小标宋_GBK"/>
          <w:sz w:val="36"/>
          <w:szCs w:val="36"/>
        </w:rPr>
        <w:t>整体支出绩效评价报告</w:t>
      </w:r>
    </w:p>
    <w:p>
      <w:pPr>
        <w:topLinePunct/>
        <w:ind w:firstLine="594" w:firstLineChars="200"/>
        <w:rPr>
          <w:rFonts w:ascii="仿宋_GB2312"/>
          <w:b/>
          <w:szCs w:val="32"/>
        </w:rPr>
      </w:pPr>
      <w:r>
        <w:rPr>
          <w:rFonts w:hint="eastAsia" w:ascii="仿宋_GB2312"/>
          <w:szCs w:val="32"/>
          <w:lang w:eastAsia="zh-CN"/>
        </w:rPr>
        <w:t>为确实做好20</w:t>
      </w:r>
      <w:r>
        <w:rPr>
          <w:rFonts w:hint="eastAsia" w:ascii="仿宋_GB2312"/>
          <w:szCs w:val="32"/>
          <w:lang w:val="en-US" w:eastAsia="zh-CN"/>
        </w:rPr>
        <w:t>21</w:t>
      </w:r>
      <w:r>
        <w:rPr>
          <w:rFonts w:hint="eastAsia" w:ascii="仿宋_GB2312"/>
          <w:szCs w:val="32"/>
          <w:lang w:eastAsia="zh-CN"/>
        </w:rPr>
        <w:t>年度部门整体支出绩效自评工作，提高财政资金使用效益，根据《昆明市呈贡区财政局关于对</w:t>
      </w:r>
      <w:r>
        <w:rPr>
          <w:rFonts w:hint="eastAsia" w:ascii="仿宋_GB2312"/>
          <w:szCs w:val="32"/>
          <w:lang w:val="en-US" w:eastAsia="zh-CN"/>
        </w:rPr>
        <w:t>2021年度预算支出开展绩效自评工作的通知</w:t>
      </w:r>
      <w:r>
        <w:rPr>
          <w:rFonts w:hint="eastAsia" w:ascii="仿宋_GB2312"/>
          <w:szCs w:val="32"/>
          <w:lang w:eastAsia="zh-CN"/>
        </w:rPr>
        <w:t>》文件精神，结合实际，组织成立了绩效评价工作小组，检查基本支出、有关账目，收集整理支出相关资料进行分析、总结，现将我单位整体支出绩效自评结果报告如下：</w:t>
      </w:r>
    </w:p>
    <w:p>
      <w:pPr>
        <w:topLinePunct/>
        <w:ind w:firstLine="594" w:firstLineChars="200"/>
        <w:rPr>
          <w:rFonts w:ascii="黑体" w:eastAsia="黑体"/>
          <w:szCs w:val="32"/>
        </w:rPr>
      </w:pPr>
      <w:r>
        <w:rPr>
          <w:rFonts w:hint="eastAsia" w:ascii="黑体" w:eastAsia="黑体"/>
          <w:szCs w:val="32"/>
        </w:rPr>
        <w:t>一、基本情况</w:t>
      </w:r>
    </w:p>
    <w:p>
      <w:pPr>
        <w:topLinePunct/>
        <w:ind w:firstLine="594" w:firstLineChars="200"/>
        <w:rPr>
          <w:rFonts w:hint="eastAsia" w:ascii="仿宋_GB2312"/>
          <w:szCs w:val="32"/>
        </w:rPr>
      </w:pPr>
      <w:r>
        <w:rPr>
          <w:rFonts w:hint="eastAsia" w:ascii="仿宋_GB2312"/>
          <w:b/>
          <w:bCs/>
          <w:szCs w:val="32"/>
        </w:rPr>
        <w:t>（一）部门整体支出概况</w:t>
      </w:r>
    </w:p>
    <w:p>
      <w:pPr>
        <w:topLinePunct/>
        <w:ind w:firstLine="594" w:firstLineChars="200"/>
        <w:rPr>
          <w:rFonts w:hint="eastAsia" w:ascii="仿宋_GB2312"/>
          <w:szCs w:val="32"/>
          <w:lang w:eastAsia="zh-CN"/>
        </w:rPr>
      </w:pPr>
      <w:r>
        <w:rPr>
          <w:rFonts w:hint="eastAsia" w:ascii="仿宋_GB2312"/>
          <w:szCs w:val="32"/>
          <w:lang w:eastAsia="zh-CN"/>
        </w:rPr>
        <w:t>20</w:t>
      </w:r>
      <w:r>
        <w:rPr>
          <w:rFonts w:hint="eastAsia" w:ascii="仿宋_GB2312"/>
          <w:szCs w:val="32"/>
          <w:lang w:val="en-US" w:eastAsia="zh-CN"/>
        </w:rPr>
        <w:t>21</w:t>
      </w:r>
      <w:r>
        <w:rPr>
          <w:rFonts w:hint="eastAsia" w:ascii="仿宋_GB2312"/>
          <w:szCs w:val="32"/>
          <w:lang w:eastAsia="zh-CN"/>
        </w:rPr>
        <w:t>年</w:t>
      </w:r>
      <w:r>
        <w:rPr>
          <w:rFonts w:hint="eastAsia" w:ascii="仿宋_GB2312"/>
          <w:szCs w:val="32"/>
          <w:lang w:eastAsia="zh-CN"/>
        </w:rPr>
        <w:t>昆明市</w:t>
      </w:r>
      <w:r>
        <w:rPr>
          <w:rFonts w:hint="eastAsia" w:ascii="仿宋_GB2312"/>
          <w:szCs w:val="32"/>
          <w:lang w:val="en-US" w:eastAsia="zh-CN"/>
        </w:rPr>
        <w:t>呈贡区城市管理综合行政执法大队</w:t>
      </w:r>
      <w:r>
        <w:rPr>
          <w:rFonts w:hint="eastAsia" w:ascii="仿宋_GB2312"/>
          <w:szCs w:val="32"/>
          <w:lang w:eastAsia="zh-CN"/>
        </w:rPr>
        <w:t xml:space="preserve">年初预算总收入 </w:t>
      </w:r>
      <w:r>
        <w:rPr>
          <w:rFonts w:hint="eastAsia" w:ascii="仿宋_GB2312"/>
          <w:szCs w:val="32"/>
          <w:lang w:val="en-US" w:eastAsia="zh-CN"/>
        </w:rPr>
        <w:t>23,956,136.38</w:t>
      </w:r>
      <w:r>
        <w:rPr>
          <w:rFonts w:hint="eastAsia" w:ascii="仿宋_GB2312"/>
          <w:szCs w:val="32"/>
          <w:lang w:eastAsia="zh-CN"/>
        </w:rPr>
        <w:t>元，其中：一般公共预算财政拨款</w:t>
      </w:r>
      <w:r>
        <w:rPr>
          <w:rFonts w:hint="eastAsia" w:ascii="仿宋_GB2312"/>
          <w:szCs w:val="32"/>
          <w:lang w:eastAsia="zh-CN"/>
        </w:rPr>
        <w:t xml:space="preserve">收入 </w:t>
      </w:r>
      <w:r>
        <w:rPr>
          <w:rFonts w:hint="eastAsia" w:ascii="仿宋_GB2312"/>
          <w:szCs w:val="32"/>
          <w:lang w:val="en-US" w:eastAsia="zh-CN"/>
        </w:rPr>
        <w:t>23,956,136.38</w:t>
      </w:r>
      <w:r>
        <w:rPr>
          <w:rFonts w:hint="eastAsia" w:ascii="仿宋_GB2312"/>
          <w:szCs w:val="32"/>
          <w:lang w:eastAsia="zh-CN"/>
        </w:rPr>
        <w:t>元，政府性基金预算财政拨款</w:t>
      </w:r>
      <w:r>
        <w:rPr>
          <w:rFonts w:hint="eastAsia" w:ascii="仿宋_GB2312"/>
          <w:szCs w:val="32"/>
          <w:lang w:eastAsia="zh-CN"/>
        </w:rPr>
        <w:t>收入0元，上级补助收入0元，事业收入0元，事业单位经营收入0元，其他收入0元。</w:t>
      </w:r>
    </w:p>
    <w:p>
      <w:pPr>
        <w:topLinePunct/>
        <w:ind w:firstLine="594" w:firstLineChars="200"/>
        <w:rPr>
          <w:rFonts w:hint="eastAsia" w:ascii="仿宋_GB2312"/>
          <w:szCs w:val="32"/>
          <w:lang w:eastAsia="zh-CN"/>
        </w:rPr>
      </w:pPr>
      <w:r>
        <w:rPr>
          <w:rFonts w:hint="eastAsia" w:ascii="仿宋_GB2312"/>
          <w:szCs w:val="32"/>
          <w:lang w:eastAsia="zh-CN"/>
        </w:rPr>
        <w:t>20</w:t>
      </w:r>
      <w:r>
        <w:rPr>
          <w:rFonts w:hint="eastAsia" w:ascii="仿宋_GB2312"/>
          <w:szCs w:val="32"/>
          <w:lang w:val="en-US" w:eastAsia="zh-CN"/>
        </w:rPr>
        <w:t>21</w:t>
      </w:r>
      <w:r>
        <w:rPr>
          <w:rFonts w:hint="eastAsia" w:ascii="仿宋_GB2312"/>
          <w:szCs w:val="32"/>
          <w:lang w:eastAsia="zh-CN"/>
        </w:rPr>
        <w:t>年</w:t>
      </w:r>
      <w:r>
        <w:rPr>
          <w:rFonts w:hint="eastAsia" w:ascii="仿宋_GB2312"/>
          <w:szCs w:val="32"/>
          <w:lang w:eastAsia="zh-CN"/>
        </w:rPr>
        <w:t>昆明市</w:t>
      </w:r>
      <w:r>
        <w:rPr>
          <w:rFonts w:hint="eastAsia" w:ascii="仿宋_GB2312"/>
          <w:szCs w:val="32"/>
          <w:lang w:val="en-US" w:eastAsia="zh-CN"/>
        </w:rPr>
        <w:t>呈贡区城市管理综合行政执法大队</w:t>
      </w:r>
      <w:r>
        <w:rPr>
          <w:rFonts w:hint="eastAsia" w:ascii="仿宋_GB2312"/>
          <w:szCs w:val="32"/>
          <w:lang w:eastAsia="zh-CN"/>
        </w:rPr>
        <w:t>年初预算总支出 23</w:t>
      </w:r>
      <w:r>
        <w:rPr>
          <w:rFonts w:hint="eastAsia" w:ascii="仿宋_GB2312"/>
          <w:szCs w:val="32"/>
          <w:lang w:val="en-US" w:eastAsia="zh-CN"/>
        </w:rPr>
        <w:t>,</w:t>
      </w:r>
      <w:r>
        <w:rPr>
          <w:rFonts w:hint="eastAsia" w:ascii="仿宋_GB2312"/>
          <w:szCs w:val="32"/>
          <w:lang w:eastAsia="zh-CN"/>
        </w:rPr>
        <w:t>956</w:t>
      </w:r>
      <w:r>
        <w:rPr>
          <w:rFonts w:hint="eastAsia" w:ascii="仿宋_GB2312"/>
          <w:szCs w:val="32"/>
          <w:lang w:val="en-US" w:eastAsia="zh-CN"/>
        </w:rPr>
        <w:t>,</w:t>
      </w:r>
      <w:r>
        <w:rPr>
          <w:rFonts w:hint="eastAsia" w:ascii="仿宋_GB2312"/>
          <w:szCs w:val="32"/>
          <w:lang w:eastAsia="zh-CN"/>
        </w:rPr>
        <w:t>136.38元。其中：教育支出</w:t>
      </w:r>
      <w:r>
        <w:rPr>
          <w:rFonts w:hint="eastAsia" w:ascii="仿宋_GB2312"/>
          <w:szCs w:val="32"/>
          <w:lang w:val="en-US" w:eastAsia="zh-CN"/>
        </w:rPr>
        <w:t>25,800</w:t>
      </w:r>
      <w:r>
        <w:rPr>
          <w:rFonts w:hint="eastAsia" w:ascii="仿宋_GB2312"/>
          <w:szCs w:val="32"/>
          <w:lang w:eastAsia="zh-CN"/>
        </w:rPr>
        <w:t>元，社会保障和就业支出1</w:t>
      </w:r>
      <w:r>
        <w:rPr>
          <w:rFonts w:hint="eastAsia" w:ascii="仿宋_GB2312"/>
          <w:szCs w:val="32"/>
          <w:lang w:val="en-US" w:eastAsia="zh-CN"/>
        </w:rPr>
        <w:t>,</w:t>
      </w:r>
      <w:r>
        <w:rPr>
          <w:rFonts w:hint="eastAsia" w:ascii="仿宋_GB2312"/>
          <w:szCs w:val="32"/>
          <w:lang w:eastAsia="zh-CN"/>
        </w:rPr>
        <w:t>235</w:t>
      </w:r>
      <w:r>
        <w:rPr>
          <w:rFonts w:hint="eastAsia" w:ascii="仿宋_GB2312"/>
          <w:szCs w:val="32"/>
          <w:lang w:val="en-US" w:eastAsia="zh-CN"/>
        </w:rPr>
        <w:t>,</w:t>
      </w:r>
      <w:r>
        <w:rPr>
          <w:rFonts w:hint="eastAsia" w:ascii="仿宋_GB2312"/>
          <w:szCs w:val="32"/>
          <w:lang w:eastAsia="zh-CN"/>
        </w:rPr>
        <w:t>363.45元，城乡社区支出20</w:t>
      </w:r>
      <w:r>
        <w:rPr>
          <w:rFonts w:hint="eastAsia" w:ascii="仿宋_GB2312"/>
          <w:szCs w:val="32"/>
          <w:lang w:val="en-US" w:eastAsia="zh-CN"/>
        </w:rPr>
        <w:t>,</w:t>
      </w:r>
      <w:r>
        <w:rPr>
          <w:rFonts w:hint="eastAsia" w:ascii="仿宋_GB2312"/>
          <w:szCs w:val="32"/>
          <w:lang w:eastAsia="zh-CN"/>
        </w:rPr>
        <w:t>745</w:t>
      </w:r>
      <w:r>
        <w:rPr>
          <w:rFonts w:hint="eastAsia" w:ascii="仿宋_GB2312"/>
          <w:szCs w:val="32"/>
          <w:lang w:val="en-US" w:eastAsia="zh-CN"/>
        </w:rPr>
        <w:t>,</w:t>
      </w:r>
      <w:r>
        <w:rPr>
          <w:rFonts w:hint="eastAsia" w:ascii="仿宋_GB2312"/>
          <w:szCs w:val="32"/>
          <w:lang w:eastAsia="zh-CN"/>
        </w:rPr>
        <w:t>164.34元，住房保障支出1</w:t>
      </w:r>
      <w:r>
        <w:rPr>
          <w:rFonts w:hint="eastAsia" w:ascii="仿宋_GB2312"/>
          <w:szCs w:val="32"/>
          <w:lang w:val="en-US" w:eastAsia="zh-CN"/>
        </w:rPr>
        <w:t>,</w:t>
      </w:r>
      <w:r>
        <w:rPr>
          <w:rFonts w:hint="eastAsia" w:ascii="仿宋_GB2312"/>
          <w:szCs w:val="32"/>
          <w:lang w:eastAsia="zh-CN"/>
        </w:rPr>
        <w:t>290</w:t>
      </w:r>
      <w:r>
        <w:rPr>
          <w:rFonts w:hint="eastAsia" w:ascii="仿宋_GB2312"/>
          <w:szCs w:val="32"/>
          <w:lang w:val="en-US" w:eastAsia="zh-CN"/>
        </w:rPr>
        <w:t>,</w:t>
      </w:r>
      <w:r>
        <w:rPr>
          <w:rFonts w:hint="eastAsia" w:ascii="仿宋_GB2312"/>
          <w:szCs w:val="32"/>
          <w:lang w:eastAsia="zh-CN"/>
        </w:rPr>
        <w:t>339元。</w:t>
      </w:r>
    </w:p>
    <w:p>
      <w:pPr>
        <w:topLinePunct/>
        <w:ind w:firstLine="594" w:firstLineChars="200"/>
        <w:rPr>
          <w:rFonts w:hint="eastAsia" w:ascii="仿宋_GB2312"/>
          <w:szCs w:val="32"/>
          <w:lang w:val="en-US" w:eastAsia="zh-CN"/>
        </w:rPr>
      </w:pPr>
      <w:r>
        <w:rPr>
          <w:rFonts w:hint="eastAsia" w:ascii="仿宋_GB2312"/>
          <w:szCs w:val="32"/>
          <w:lang w:val="en-US" w:eastAsia="zh-CN"/>
        </w:rPr>
        <w:t>2021年昆明市呈贡区城市管理综合行政执法大队资金转结余0元。</w:t>
      </w:r>
    </w:p>
    <w:p>
      <w:pPr>
        <w:topLinePunct/>
        <w:ind w:firstLine="594" w:firstLineChars="200"/>
        <w:rPr>
          <w:rFonts w:hint="eastAsia" w:ascii="仿宋_GB2312"/>
          <w:szCs w:val="32"/>
          <w:lang w:val="en-US" w:eastAsia="zh-CN"/>
        </w:rPr>
      </w:pPr>
      <w:r>
        <w:rPr>
          <w:rFonts w:hint="eastAsia" w:ascii="仿宋_GB2312"/>
          <w:b/>
          <w:bCs/>
          <w:szCs w:val="32"/>
          <w:lang w:val="en-US" w:eastAsia="zh-CN"/>
        </w:rPr>
        <w:t>（二）部门整体支出绩效目标、预决算公开、存量资金管理、三公经费控制、内部管理制度建设</w:t>
      </w:r>
    </w:p>
    <w:p>
      <w:pPr>
        <w:topLinePunct/>
        <w:ind w:firstLine="594" w:firstLineChars="200"/>
        <w:rPr>
          <w:rFonts w:hint="eastAsia" w:ascii="仿宋_GB2312"/>
          <w:b/>
          <w:bCs/>
          <w:szCs w:val="32"/>
          <w:lang w:val="en-US" w:eastAsia="zh-CN"/>
        </w:rPr>
      </w:pPr>
      <w:r>
        <w:rPr>
          <w:rFonts w:hint="eastAsia" w:ascii="仿宋_GB2312"/>
          <w:b/>
          <w:bCs/>
          <w:szCs w:val="32"/>
          <w:lang w:val="en-US" w:eastAsia="zh-CN"/>
        </w:rPr>
        <w:t>绩效目标：</w:t>
      </w:r>
    </w:p>
    <w:p>
      <w:pPr>
        <w:topLinePunct/>
        <w:ind w:firstLine="594" w:firstLineChars="200"/>
        <w:rPr>
          <w:rFonts w:hint="eastAsia" w:ascii="仿宋_GB2312"/>
          <w:szCs w:val="32"/>
          <w:lang w:val="en-US" w:eastAsia="zh-CN"/>
        </w:rPr>
      </w:pPr>
      <w:r>
        <w:rPr>
          <w:rFonts w:hint="eastAsia" w:ascii="仿宋_GB2312"/>
          <w:b/>
          <w:bCs/>
          <w:szCs w:val="32"/>
          <w:lang w:val="en-US" w:eastAsia="zh-CN"/>
        </w:rPr>
        <w:t>一是</w:t>
      </w:r>
      <w:r>
        <w:rPr>
          <w:rFonts w:hint="eastAsia" w:ascii="仿宋_GB2312"/>
          <w:szCs w:val="32"/>
          <w:lang w:val="en-US" w:eastAsia="zh-CN"/>
        </w:rPr>
        <w:t>开展市容市貌专项整治。采取多项措施对市容市容进行专项整治：</w:t>
      </w:r>
    </w:p>
    <w:p>
      <w:pPr>
        <w:topLinePunct/>
        <w:ind w:firstLine="594" w:firstLineChars="200"/>
        <w:rPr>
          <w:rFonts w:hint="eastAsia" w:ascii="仿宋_GB2312"/>
          <w:szCs w:val="32"/>
          <w:lang w:val="en-US" w:eastAsia="zh-CN"/>
        </w:rPr>
      </w:pPr>
      <w:r>
        <w:rPr>
          <w:rFonts w:hint="eastAsia" w:ascii="仿宋_GB2312"/>
          <w:szCs w:val="32"/>
          <w:lang w:val="en-US" w:eastAsia="zh-CN"/>
        </w:rPr>
        <w:t>（一）对“门前三包”落实不到位，环境脏乱差及不文明行为进行宣传教育整改；</w:t>
      </w:r>
    </w:p>
    <w:p>
      <w:pPr>
        <w:topLinePunct/>
        <w:ind w:firstLine="594" w:firstLineChars="200"/>
        <w:rPr>
          <w:rFonts w:hint="eastAsia" w:ascii="仿宋_GB2312"/>
          <w:szCs w:val="32"/>
          <w:lang w:val="en-US" w:eastAsia="zh-CN"/>
        </w:rPr>
      </w:pPr>
      <w:r>
        <w:rPr>
          <w:rFonts w:hint="eastAsia" w:ascii="仿宋_GB2312"/>
          <w:szCs w:val="32"/>
          <w:lang w:val="en-US" w:eastAsia="zh-CN"/>
        </w:rPr>
        <w:t>（二）抓好“三个结合”整治占道经营，通过疏堵结合、集中整治与日常管理相结合、整治与宣传相结合加大占道经营整治力度；</w:t>
      </w:r>
    </w:p>
    <w:p>
      <w:pPr>
        <w:topLinePunct/>
        <w:ind w:firstLine="594" w:firstLineChars="200"/>
        <w:rPr>
          <w:rFonts w:hint="eastAsia" w:ascii="仿宋_GB2312"/>
          <w:szCs w:val="32"/>
          <w:lang w:val="en-US" w:eastAsia="zh-CN"/>
        </w:rPr>
      </w:pPr>
      <w:r>
        <w:rPr>
          <w:rFonts w:hint="eastAsia" w:ascii="仿宋_GB2312"/>
          <w:szCs w:val="32"/>
          <w:lang w:val="en-US" w:eastAsia="zh-CN"/>
        </w:rPr>
        <w:t>（三）规范管理，整治占用人行道车辆乱停乱放；</w:t>
      </w:r>
    </w:p>
    <w:p>
      <w:pPr>
        <w:topLinePunct/>
        <w:ind w:firstLine="594" w:firstLineChars="200"/>
        <w:rPr>
          <w:rFonts w:hint="eastAsia" w:ascii="仿宋_GB2312"/>
          <w:szCs w:val="32"/>
          <w:lang w:val="en-US" w:eastAsia="zh-CN"/>
        </w:rPr>
      </w:pPr>
      <w:r>
        <w:rPr>
          <w:rFonts w:hint="eastAsia" w:ascii="仿宋_GB2312"/>
          <w:szCs w:val="32"/>
          <w:lang w:val="en-US" w:eastAsia="zh-CN"/>
        </w:rPr>
        <w:t>（四）抓“四个加大”，持续加强对散发、张贴小广告的治理。加大宣传力度、加大管控力度、加大打击力度、加大处罚力度，根除城市“牛皮癣”。</w:t>
      </w:r>
    </w:p>
    <w:p>
      <w:pPr>
        <w:topLinePunct/>
        <w:ind w:firstLine="594" w:firstLineChars="200"/>
        <w:rPr>
          <w:rFonts w:hint="eastAsia" w:ascii="仿宋_GB2312"/>
          <w:szCs w:val="32"/>
          <w:lang w:val="en-US" w:eastAsia="zh-CN"/>
        </w:rPr>
      </w:pPr>
      <w:r>
        <w:rPr>
          <w:rFonts w:hint="eastAsia" w:ascii="仿宋_GB2312"/>
          <w:b/>
          <w:bCs/>
          <w:szCs w:val="32"/>
          <w:lang w:val="en-US" w:eastAsia="zh-CN"/>
        </w:rPr>
        <w:t>二是</w:t>
      </w:r>
      <w:r>
        <w:rPr>
          <w:rFonts w:hint="eastAsia" w:ascii="仿宋_GB2312"/>
          <w:szCs w:val="32"/>
          <w:lang w:val="en-US" w:eastAsia="zh-CN"/>
        </w:rPr>
        <w:t>严查建筑垃圾违法运输行为，对违规行为实行“严监管”。</w:t>
      </w:r>
    </w:p>
    <w:p>
      <w:pPr>
        <w:topLinePunct/>
        <w:ind w:firstLine="594" w:firstLineChars="200"/>
        <w:rPr>
          <w:rFonts w:hint="eastAsia" w:ascii="仿宋_GB2312"/>
          <w:szCs w:val="32"/>
          <w:lang w:val="en-US" w:eastAsia="zh-CN"/>
        </w:rPr>
      </w:pPr>
      <w:r>
        <w:rPr>
          <w:rFonts w:hint="eastAsia" w:ascii="仿宋_GB2312"/>
          <w:szCs w:val="32"/>
          <w:lang w:val="en-US" w:eastAsia="zh-CN"/>
        </w:rPr>
        <w:t>（一）标本兼治，着力强化出土工地管理。督促出土工地进出口地面进行硬化处理，严格按施工标准使用“三池一设备”，避免出入车辆未经冲洗直接上路，造成道路污染；每周对出土工地“三池一设备”检查不少于3次。</w:t>
      </w:r>
    </w:p>
    <w:p>
      <w:pPr>
        <w:topLinePunct/>
        <w:ind w:firstLine="594" w:firstLineChars="200"/>
        <w:rPr>
          <w:rFonts w:hint="eastAsia" w:ascii="仿宋_GB2312"/>
          <w:szCs w:val="32"/>
          <w:lang w:val="en-US" w:eastAsia="zh-CN"/>
        </w:rPr>
      </w:pPr>
      <w:r>
        <w:rPr>
          <w:rFonts w:hint="eastAsia" w:ascii="仿宋_GB2312"/>
          <w:szCs w:val="32"/>
          <w:lang w:val="en-US" w:eastAsia="zh-CN"/>
        </w:rPr>
        <w:t>（二）严查重处，严厉打击建筑垃圾违法运输行为。严格按照常态化宣传教育、常态化检查、常态化考评、常态化督查的“四个常态化”要求，多种方式加大对渣土运输查处、监管。</w:t>
      </w:r>
    </w:p>
    <w:p>
      <w:pPr>
        <w:topLinePunct/>
        <w:ind w:firstLine="594" w:firstLineChars="200"/>
        <w:rPr>
          <w:rFonts w:hint="eastAsia" w:ascii="仿宋_GB2312"/>
          <w:szCs w:val="32"/>
          <w:lang w:val="en-US" w:eastAsia="zh-CN"/>
        </w:rPr>
      </w:pPr>
      <w:r>
        <w:rPr>
          <w:rFonts w:hint="eastAsia" w:ascii="仿宋_GB2312"/>
          <w:b/>
          <w:bCs/>
          <w:szCs w:val="32"/>
          <w:lang w:val="en-US" w:eastAsia="zh-CN"/>
        </w:rPr>
        <w:t>三是</w:t>
      </w:r>
      <w:r>
        <w:rPr>
          <w:rFonts w:hint="eastAsia" w:ascii="仿宋_GB2312"/>
          <w:szCs w:val="32"/>
          <w:lang w:val="en-US" w:eastAsia="zh-CN"/>
        </w:rPr>
        <w:t>规划建设管理方面：执法大队直属中队依据城乡规划方面的法律、法规和规章的规定，负责对全区建设工程项目违反城乡规划管理的行为实施行政处罚；依据住房和城乡建设管理方面法律、法规和规章的规定，负责对全区建设工程项目违反住房和城乡建设管理的行为实施行政处罚；负责全区建设工程项目规划批后监督管理工作。</w:t>
      </w:r>
    </w:p>
    <w:p>
      <w:pPr>
        <w:topLinePunct/>
        <w:ind w:firstLine="594" w:firstLineChars="200"/>
        <w:rPr>
          <w:rFonts w:hint="eastAsia" w:ascii="仿宋_GB2312"/>
          <w:szCs w:val="32"/>
          <w:lang w:val="zh-CN" w:eastAsia="zh-CN"/>
        </w:rPr>
      </w:pPr>
      <w:r>
        <w:rPr>
          <w:rFonts w:hint="eastAsia" w:ascii="仿宋_GB2312"/>
          <w:b/>
          <w:bCs/>
          <w:szCs w:val="32"/>
          <w:lang w:val="en-US" w:eastAsia="zh-CN"/>
        </w:rPr>
        <w:t>四是</w:t>
      </w:r>
      <w:r>
        <w:rPr>
          <w:rFonts w:hint="eastAsia" w:ascii="仿宋_GB2312"/>
          <w:szCs w:val="32"/>
          <w:lang w:val="en-US" w:eastAsia="zh-CN"/>
        </w:rPr>
        <w:t>拆临拆违工作：大队拆临拆违指挥部不断推进新实践、展示新形象，夯实基础，稳步推进，坚持依法行政，文明执法，对违反《中华人民共和国城乡规划法》和《中华人民共和国建筑法》进行建设的单位和个人依法进行查处；认真完成昆明市城乡违法违规建筑治理指挥部下达的各项工作任务，统筹协调督促呈贡区各街道扎实推进违法违规建筑治理工作任务；建立</w:t>
      </w:r>
      <w:r>
        <w:rPr>
          <w:rFonts w:hint="eastAsia" w:ascii="仿宋_GB2312"/>
          <w:szCs w:val="32"/>
          <w:lang w:val="zh-CN" w:eastAsia="zh-CN"/>
        </w:rPr>
        <w:t>违法建设的机动督查监管工作，配合并督促辖区各街道办事处对违法建设进行巡查监管和查处，将违法建设遏制在萌芽状态。</w:t>
      </w:r>
    </w:p>
    <w:p>
      <w:pPr>
        <w:topLinePunct/>
        <w:ind w:firstLine="594" w:firstLineChars="200"/>
        <w:rPr>
          <w:rFonts w:hint="eastAsia" w:ascii="仿宋_GB2312"/>
          <w:szCs w:val="32"/>
          <w:lang w:val="en-US" w:eastAsia="zh-CN"/>
        </w:rPr>
      </w:pPr>
      <w:r>
        <w:rPr>
          <w:rFonts w:hint="eastAsia" w:ascii="仿宋_GB2312"/>
          <w:b/>
          <w:bCs/>
          <w:szCs w:val="32"/>
          <w:lang w:val="zh-CN" w:eastAsia="zh-CN"/>
        </w:rPr>
        <w:t>五是</w:t>
      </w:r>
      <w:r>
        <w:rPr>
          <w:rFonts w:hint="eastAsia" w:ascii="仿宋_GB2312"/>
          <w:szCs w:val="32"/>
          <w:lang w:val="zh-CN" w:eastAsia="zh-CN"/>
        </w:rPr>
        <w:t>执法大队直属中队</w:t>
      </w:r>
      <w:r>
        <w:rPr>
          <w:rFonts w:hint="eastAsia" w:ascii="仿宋_GB2312"/>
          <w:szCs w:val="32"/>
          <w:lang w:val="en-US" w:eastAsia="zh-CN"/>
        </w:rPr>
        <w:t>认真办理住建局来函关于大气扬尘污染案件；配合辖区六个街道重点检查施工工地6个100%落实情况；出入口路面硬化、“三池一设备”使用情况；裸露土体覆盖情况；保洁措施落实情况；文明安全施工等情况；巡查呈贡辖区内渣土运输车辆不按规定路线行驶，未严密封闭运输等违法违规行为，巡查各主次干道，检查路面污染情况。</w:t>
      </w:r>
    </w:p>
    <w:p>
      <w:pPr>
        <w:topLinePunct/>
        <w:ind w:firstLine="594" w:firstLineChars="200"/>
        <w:rPr>
          <w:rFonts w:hint="eastAsia" w:ascii="仿宋_GB2312"/>
          <w:szCs w:val="32"/>
          <w:lang w:val="en-US" w:eastAsia="zh-CN"/>
        </w:rPr>
      </w:pPr>
      <w:r>
        <w:rPr>
          <w:rFonts w:hint="eastAsia" w:ascii="仿宋_GB2312"/>
          <w:b/>
          <w:bCs/>
          <w:szCs w:val="32"/>
          <w:lang w:val="en-US" w:eastAsia="zh-CN"/>
        </w:rPr>
        <w:t>六是</w:t>
      </w:r>
      <w:r>
        <w:rPr>
          <w:rFonts w:hint="eastAsia" w:ascii="仿宋_GB2312"/>
          <w:szCs w:val="32"/>
          <w:lang w:val="en-US" w:eastAsia="zh-CN"/>
        </w:rPr>
        <w:t>城市管理综合行政执法队伍规范化建设工作：</w:t>
      </w:r>
    </w:p>
    <w:p>
      <w:pPr>
        <w:topLinePunct/>
        <w:ind w:firstLine="594" w:firstLineChars="200"/>
        <w:rPr>
          <w:rFonts w:hint="eastAsia" w:ascii="仿宋_GB2312"/>
          <w:szCs w:val="32"/>
          <w:lang w:val="en-US" w:eastAsia="zh-CN"/>
        </w:rPr>
      </w:pPr>
      <w:r>
        <w:rPr>
          <w:rFonts w:hint="eastAsia" w:ascii="仿宋_GB2312"/>
          <w:szCs w:val="32"/>
          <w:lang w:val="en-US" w:eastAsia="zh-CN"/>
        </w:rPr>
        <w:t>（一）加强执法案件审查，规范执法行为，严格按照相关法律、法规、规章查处违法违规案件。</w:t>
      </w:r>
    </w:p>
    <w:p>
      <w:pPr>
        <w:topLinePunct/>
        <w:ind w:firstLine="594" w:firstLineChars="200"/>
        <w:rPr>
          <w:rFonts w:hint="eastAsia" w:ascii="仿宋_GB2312"/>
          <w:szCs w:val="32"/>
          <w:lang w:val="en-US" w:eastAsia="zh-CN"/>
        </w:rPr>
      </w:pPr>
      <w:r>
        <w:rPr>
          <w:rFonts w:hint="eastAsia" w:ascii="仿宋_GB2312"/>
          <w:szCs w:val="32"/>
          <w:lang w:val="en-US" w:eastAsia="zh-CN"/>
        </w:rPr>
        <w:t>（二）加强执法督察，着力加强执法队伍规范化建设。</w:t>
      </w:r>
    </w:p>
    <w:p>
      <w:pPr>
        <w:topLinePunct/>
        <w:ind w:firstLine="594" w:firstLineChars="200"/>
        <w:rPr>
          <w:rFonts w:hint="eastAsia" w:ascii="仿宋_GB2312"/>
          <w:szCs w:val="32"/>
          <w:lang w:val="en-US" w:eastAsia="zh-CN"/>
        </w:rPr>
      </w:pPr>
      <w:r>
        <w:rPr>
          <w:rFonts w:hint="eastAsia" w:ascii="仿宋_GB2312"/>
          <w:szCs w:val="32"/>
          <w:lang w:val="en-US" w:eastAsia="zh-CN"/>
        </w:rPr>
        <w:t>（三）强化业务学习培训，做到正式人员、协勤人员每年一次轮训。</w:t>
      </w:r>
    </w:p>
    <w:p>
      <w:pPr>
        <w:topLinePunct/>
        <w:ind w:firstLine="594" w:firstLineChars="200"/>
        <w:rPr>
          <w:rFonts w:hint="eastAsia" w:ascii="仿宋_GB2312"/>
          <w:szCs w:val="32"/>
          <w:lang w:val="en-US" w:eastAsia="zh-CN"/>
        </w:rPr>
      </w:pPr>
      <w:r>
        <w:rPr>
          <w:rFonts w:hint="eastAsia" w:ascii="仿宋_GB2312"/>
          <w:szCs w:val="32"/>
          <w:lang w:val="en-US" w:eastAsia="zh-CN"/>
        </w:rPr>
        <w:t>（四）加强领导班子和执法队伍建设，充分发挥党员先锋模范作用，全面落实党风廉政建设责任。</w:t>
      </w:r>
    </w:p>
    <w:p>
      <w:pPr>
        <w:topLinePunct/>
        <w:ind w:firstLine="594" w:firstLineChars="200"/>
        <w:rPr>
          <w:rFonts w:hint="eastAsia" w:ascii="仿宋_GB2312"/>
          <w:szCs w:val="32"/>
          <w:lang w:val="en-US" w:eastAsia="zh-CN"/>
        </w:rPr>
      </w:pPr>
      <w:r>
        <w:rPr>
          <w:rFonts w:hint="eastAsia" w:ascii="仿宋_GB2312"/>
          <w:szCs w:val="32"/>
          <w:lang w:val="en-US" w:eastAsia="zh-CN"/>
        </w:rPr>
        <w:t>（五）进一步巩固拓展党的群众路线教育实践活动成果，提升党员干部职工的党性、品格、境界和素质，以作风建设的新成效，促进城市管理各项工作健康开展。</w:t>
      </w:r>
    </w:p>
    <w:p>
      <w:pPr>
        <w:topLinePunct/>
        <w:ind w:firstLine="594" w:firstLineChars="200"/>
        <w:rPr>
          <w:rFonts w:hint="eastAsia" w:ascii="仿宋_GB2312"/>
          <w:szCs w:val="32"/>
          <w:lang w:val="en-US" w:eastAsia="zh-CN"/>
        </w:rPr>
      </w:pPr>
      <w:r>
        <w:rPr>
          <w:rFonts w:hint="eastAsia" w:ascii="仿宋_GB2312"/>
          <w:b/>
          <w:bCs/>
          <w:szCs w:val="32"/>
          <w:lang w:val="en-US" w:eastAsia="zh-CN"/>
        </w:rPr>
        <w:t>预决算公开：</w:t>
      </w:r>
      <w:r>
        <w:rPr>
          <w:rFonts w:hint="eastAsia" w:ascii="仿宋_GB2312"/>
          <w:szCs w:val="32"/>
          <w:lang w:val="en-US" w:eastAsia="zh-CN"/>
        </w:rPr>
        <w:t>2021年呈贡区城管执法大队严格按照预决算公开要求，在中国呈贡门户网站公开。</w:t>
      </w:r>
    </w:p>
    <w:p>
      <w:pPr>
        <w:topLinePunct/>
        <w:ind w:firstLine="594" w:firstLineChars="200"/>
        <w:rPr>
          <w:rFonts w:hint="eastAsia" w:ascii="仿宋_GB2312"/>
          <w:szCs w:val="32"/>
          <w:lang w:val="en-US" w:eastAsia="zh-CN"/>
        </w:rPr>
      </w:pPr>
      <w:r>
        <w:rPr>
          <w:rFonts w:hint="eastAsia" w:ascii="仿宋_GB2312"/>
          <w:b/>
          <w:bCs/>
          <w:szCs w:val="32"/>
          <w:lang w:val="en-US" w:eastAsia="zh-CN"/>
        </w:rPr>
        <w:t>三公经费控制：</w:t>
      </w:r>
      <w:r>
        <w:rPr>
          <w:rFonts w:hint="eastAsia" w:ascii="仿宋_GB2312"/>
          <w:szCs w:val="32"/>
          <w:lang w:val="en-US" w:eastAsia="zh-CN"/>
        </w:rPr>
        <w:t>我单位严格控制三公经费开支，降低三公经费预算。</w:t>
      </w:r>
    </w:p>
    <w:p>
      <w:pPr>
        <w:topLinePunct/>
        <w:ind w:firstLine="594" w:firstLineChars="200"/>
        <w:rPr>
          <w:rFonts w:hint="eastAsia" w:ascii="仿宋_GB2312"/>
          <w:szCs w:val="32"/>
          <w:lang w:val="en-US" w:eastAsia="zh-CN"/>
        </w:rPr>
      </w:pPr>
      <w:r>
        <w:rPr>
          <w:rFonts w:hint="eastAsia" w:ascii="仿宋_GB2312"/>
          <w:b/>
          <w:bCs/>
          <w:szCs w:val="32"/>
          <w:lang w:val="en-US" w:eastAsia="zh-CN"/>
        </w:rPr>
        <w:t>内部管理制度建设：</w:t>
      </w:r>
      <w:r>
        <w:rPr>
          <w:rFonts w:hint="eastAsia" w:ascii="仿宋_GB2312"/>
          <w:szCs w:val="32"/>
          <w:lang w:val="en-US" w:eastAsia="zh-CN"/>
        </w:rPr>
        <w:t>根据内部控制建设要求，我单位按照项目实施实际情况，健全建立相关规章制度。项目实施，合同签订设专人管理。</w:t>
      </w:r>
    </w:p>
    <w:p>
      <w:pPr>
        <w:topLinePunct/>
        <w:ind w:firstLine="594" w:firstLineChars="200"/>
        <w:rPr>
          <w:rFonts w:hint="eastAsia" w:ascii="仿宋_GB2312"/>
          <w:szCs w:val="32"/>
          <w:lang w:val="en-US" w:eastAsia="zh-CN"/>
        </w:rPr>
      </w:pPr>
      <w:r>
        <w:rPr>
          <w:rFonts w:hint="eastAsia" w:ascii="仿宋_GB2312"/>
          <w:b/>
          <w:bCs/>
          <w:szCs w:val="32"/>
          <w:lang w:val="en-US" w:eastAsia="zh-CN"/>
        </w:rPr>
        <w:t>资产管理：</w:t>
      </w:r>
      <w:r>
        <w:rPr>
          <w:rFonts w:hint="eastAsia" w:ascii="仿宋_GB2312"/>
          <w:szCs w:val="32"/>
          <w:lang w:val="en-US" w:eastAsia="zh-CN"/>
        </w:rPr>
        <w:t>我单位资产管理严格落实领用登记制度，按谁使用谁负责的原则进行管理，使用完毕后及时归还入库，妥善保管，避免出现私自外借或挪做他用的情况。</w:t>
      </w:r>
    </w:p>
    <w:p>
      <w:pPr>
        <w:topLinePunct/>
        <w:ind w:firstLine="594" w:firstLineChars="200"/>
        <w:rPr>
          <w:rFonts w:hint="eastAsia" w:ascii="仿宋_GB2312"/>
          <w:b/>
          <w:bCs/>
          <w:szCs w:val="32"/>
          <w:lang w:val="en-US" w:eastAsia="zh-CN"/>
        </w:rPr>
      </w:pPr>
      <w:r>
        <w:rPr>
          <w:rFonts w:hint="eastAsia" w:ascii="仿宋_GB2312"/>
          <w:b/>
          <w:bCs/>
          <w:szCs w:val="32"/>
          <w:lang w:val="en-US" w:eastAsia="zh-CN"/>
        </w:rPr>
        <w:t>（三）部门整体支出或项目实施情况分析</w:t>
      </w:r>
    </w:p>
    <w:p>
      <w:pPr>
        <w:topLinePunct/>
        <w:ind w:firstLine="594" w:firstLineChars="200"/>
        <w:rPr>
          <w:rFonts w:hint="eastAsia" w:ascii="仿宋_GB2312"/>
          <w:szCs w:val="32"/>
          <w:lang w:val="en-US" w:eastAsia="zh-CN"/>
        </w:rPr>
      </w:pPr>
      <w:r>
        <w:rPr>
          <w:rFonts w:hint="eastAsia" w:ascii="仿宋_GB2312"/>
          <w:szCs w:val="32"/>
          <w:lang w:val="en-US" w:eastAsia="zh-CN"/>
        </w:rPr>
        <w:t>昆明市呈贡区城市管理综合行政执法大队项目资金管理严格按照财经纪律及我局财务管理制度执行，项目支出超过一万元需报请局长办公会审议后列支，项目支出超过10万元还需报请局党组会审议后列支。</w:t>
      </w:r>
    </w:p>
    <w:p>
      <w:pPr>
        <w:topLinePunct/>
        <w:ind w:firstLine="594" w:firstLineChars="200"/>
        <w:rPr>
          <w:rFonts w:hint="eastAsia" w:ascii="仿宋_GB2312"/>
          <w:szCs w:val="32"/>
          <w:lang w:val="en-US" w:eastAsia="zh-CN"/>
        </w:rPr>
      </w:pPr>
      <w:r>
        <w:rPr>
          <w:rFonts w:hint="eastAsia" w:ascii="仿宋_GB2312"/>
          <w:szCs w:val="32"/>
          <w:lang w:val="en-US" w:eastAsia="zh-CN"/>
        </w:rPr>
        <w:t>执法大队项目由各科室组织实施，各科室按照项目立项开展年初预算申报及政府采购实施，项目实施有专人管理负责，严格按照项目合同进程实施。</w:t>
      </w:r>
    </w:p>
    <w:p>
      <w:pPr>
        <w:topLinePunct/>
        <w:ind w:firstLine="594" w:firstLineChars="200"/>
        <w:rPr>
          <w:rFonts w:hint="eastAsia" w:ascii="黑体" w:eastAsia="黑体"/>
          <w:szCs w:val="32"/>
          <w:lang w:eastAsia="zh-CN"/>
        </w:rPr>
      </w:pPr>
      <w:r>
        <w:rPr>
          <w:rFonts w:hint="eastAsia" w:ascii="黑体" w:eastAsia="黑体"/>
          <w:szCs w:val="32"/>
          <w:lang w:eastAsia="zh-CN"/>
        </w:rPr>
        <w:t>二、绩效评价工作情况</w:t>
      </w:r>
    </w:p>
    <w:p>
      <w:pPr>
        <w:topLinePunct/>
        <w:ind w:firstLine="594" w:firstLineChars="200"/>
        <w:rPr>
          <w:rFonts w:hint="eastAsia" w:ascii="仿宋_GB2312"/>
          <w:szCs w:val="32"/>
          <w:lang w:eastAsia="zh-CN"/>
        </w:rPr>
      </w:pPr>
      <w:r>
        <w:rPr>
          <w:rFonts w:hint="eastAsia" w:ascii="仿宋_GB2312"/>
          <w:szCs w:val="32"/>
          <w:lang w:eastAsia="zh-CN"/>
        </w:rPr>
        <w:t>（一）绩效评价目的</w:t>
      </w:r>
    </w:p>
    <w:p>
      <w:pPr>
        <w:topLinePunct/>
        <w:ind w:firstLine="594" w:firstLineChars="200"/>
        <w:rPr>
          <w:rFonts w:hint="eastAsia" w:ascii="仿宋_GB2312"/>
          <w:szCs w:val="32"/>
          <w:lang w:eastAsia="zh-CN"/>
        </w:rPr>
      </w:pPr>
      <w:r>
        <w:rPr>
          <w:rFonts w:hint="eastAsia" w:ascii="仿宋_GB2312"/>
          <w:szCs w:val="32"/>
          <w:lang w:eastAsia="zh-CN"/>
        </w:rPr>
        <w:t>通过绩效评价，掌握20</w:t>
      </w:r>
      <w:r>
        <w:rPr>
          <w:rFonts w:hint="eastAsia" w:ascii="仿宋_GB2312"/>
          <w:szCs w:val="32"/>
          <w:lang w:val="en-US" w:eastAsia="zh-CN"/>
        </w:rPr>
        <w:t>21</w:t>
      </w:r>
      <w:r>
        <w:rPr>
          <w:rFonts w:hint="eastAsia" w:ascii="仿宋_GB2312"/>
          <w:szCs w:val="32"/>
          <w:lang w:eastAsia="zh-CN"/>
        </w:rPr>
        <w:t>年度部门整体资金支出、资金使用、制度建设、执行情况以及取得的成效；总结经验，找准问题，提出改进的意见和建议。通过绩效评价，完善制度、创新机制、加强管理、强化监督，保证项目资金使用管理的规范性、安全性和有效性；提高群众满意度；完善预算编制，规范财政资金运行，优化财政支出结构，提高财政资金使用效益。</w:t>
      </w:r>
    </w:p>
    <w:p>
      <w:pPr>
        <w:numPr>
          <w:ilvl w:val="0"/>
          <w:numId w:val="1"/>
        </w:numPr>
        <w:topLinePunct/>
        <w:ind w:firstLine="594" w:firstLineChars="200"/>
        <w:rPr>
          <w:rFonts w:hint="eastAsia" w:ascii="仿宋_GB2312"/>
          <w:szCs w:val="32"/>
          <w:lang w:eastAsia="zh-CN"/>
        </w:rPr>
      </w:pPr>
      <w:r>
        <w:rPr>
          <w:rFonts w:hint="eastAsia" w:ascii="仿宋_GB2312"/>
          <w:szCs w:val="32"/>
          <w:lang w:eastAsia="zh-CN"/>
        </w:rPr>
        <w:t>绩效评价工作过程，主要包括前期准备、组织实施和分析评价等内容</w:t>
      </w:r>
    </w:p>
    <w:p>
      <w:pPr>
        <w:numPr>
          <w:numId w:val="0"/>
        </w:numPr>
        <w:topLinePunct/>
        <w:ind w:firstLine="594" w:firstLineChars="200"/>
        <w:rPr>
          <w:rFonts w:hint="eastAsia" w:ascii="仿宋_GB2312"/>
          <w:szCs w:val="32"/>
          <w:lang w:val="en-US" w:eastAsia="zh-CN"/>
        </w:rPr>
      </w:pPr>
      <w:r>
        <w:rPr>
          <w:rFonts w:hint="eastAsia" w:ascii="仿宋_GB2312"/>
          <w:szCs w:val="32"/>
          <w:lang w:val="en-US" w:eastAsia="zh-CN"/>
        </w:rPr>
        <w:t>1、前期准备</w:t>
      </w:r>
    </w:p>
    <w:p>
      <w:pPr>
        <w:numPr>
          <w:numId w:val="0"/>
        </w:numPr>
        <w:topLinePunct/>
        <w:ind w:firstLine="594" w:firstLineChars="200"/>
        <w:rPr>
          <w:rFonts w:hint="eastAsia" w:ascii="仿宋_GB2312"/>
          <w:szCs w:val="32"/>
          <w:lang w:eastAsia="zh-CN"/>
        </w:rPr>
      </w:pPr>
      <w:r>
        <w:rPr>
          <w:rFonts w:hint="eastAsia" w:ascii="仿宋_GB2312"/>
          <w:szCs w:val="32"/>
          <w:lang w:eastAsia="zh-CN"/>
        </w:rPr>
        <w:t>执法大队按要求开展自评工作，在绩效评价前期成立评价工作组，收集评价依据，确定评价内容。做好前期准备工作确保评价的客观、公正，评价结果的真实、准确。</w:t>
      </w:r>
    </w:p>
    <w:p>
      <w:pPr>
        <w:numPr>
          <w:numId w:val="0"/>
        </w:numPr>
        <w:topLinePunct/>
        <w:ind w:firstLine="594" w:firstLineChars="200"/>
        <w:rPr>
          <w:rFonts w:hint="eastAsia" w:ascii="仿宋_GB2312"/>
          <w:szCs w:val="32"/>
          <w:lang w:eastAsia="zh-CN"/>
        </w:rPr>
      </w:pPr>
      <w:r>
        <w:rPr>
          <w:rFonts w:hint="eastAsia" w:ascii="仿宋_GB2312"/>
          <w:szCs w:val="32"/>
          <w:lang w:val="en-US" w:eastAsia="zh-CN"/>
        </w:rPr>
        <w:t>2、</w:t>
      </w:r>
      <w:bookmarkStart w:id="0" w:name="_GoBack"/>
      <w:bookmarkEnd w:id="0"/>
      <w:r>
        <w:rPr>
          <w:rFonts w:hint="eastAsia" w:ascii="仿宋_GB2312"/>
          <w:szCs w:val="32"/>
          <w:lang w:eastAsia="zh-CN"/>
        </w:rPr>
        <w:t>组织实施和分析评价</w:t>
      </w:r>
    </w:p>
    <w:p>
      <w:pPr>
        <w:numPr>
          <w:numId w:val="0"/>
        </w:numPr>
        <w:topLinePunct/>
        <w:ind w:firstLine="594" w:firstLineChars="200"/>
        <w:rPr>
          <w:rFonts w:hint="eastAsia" w:ascii="仿宋_GB2312"/>
          <w:szCs w:val="32"/>
          <w:lang w:eastAsia="zh-CN"/>
        </w:rPr>
      </w:pPr>
      <w:r>
        <w:rPr>
          <w:rFonts w:hint="eastAsia" w:ascii="仿宋_GB2312"/>
          <w:szCs w:val="32"/>
          <w:lang w:eastAsia="zh-CN"/>
        </w:rPr>
        <w:t>呈贡区城管局负责统筹，执法大队梳理相关实施项目情况，由局财务牵头开展绩效自评工作。为做好评价工作，了解各个项目绩效目标的设定与完成程度、项目组织实施管理方式、项目资金安排和使用情况、财务管理状况和资产配置使用情况、项目实施所取得的经济效益社会效益和生态环境效益等，形成整体支出绩效报告。各个项目根据资金管理使用情况进行自查，形成项目绩效报告。</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三、主要绩效及评价结论</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经济性分析</w:t>
      </w:r>
      <w:r>
        <w:rPr>
          <w:rFonts w:hint="eastAsia" w:ascii="仿宋" w:hAnsi="仿宋" w:eastAsia="仿宋" w:cs="仿宋"/>
          <w:sz w:val="32"/>
          <w:szCs w:val="32"/>
          <w:lang w:eastAsia="zh-CN"/>
        </w:rPr>
        <w:t>：</w:t>
      </w:r>
      <w:r>
        <w:rPr>
          <w:rFonts w:hint="eastAsia" w:ascii="仿宋" w:hAnsi="仿宋" w:eastAsia="仿宋" w:cs="仿宋"/>
          <w:sz w:val="32"/>
          <w:szCs w:val="32"/>
        </w:rPr>
        <w:t>打造宜居城市环境，服务地区社会经济建设发展</w:t>
      </w:r>
      <w:r>
        <w:rPr>
          <w:rFonts w:hint="eastAsia" w:ascii="仿宋" w:hAnsi="仿宋" w:eastAsia="仿宋" w:cs="仿宋"/>
          <w:sz w:val="32"/>
          <w:szCs w:val="32"/>
          <w:lang w:eastAsia="zh-CN"/>
        </w:rPr>
        <w:t>，提供相应就业岗位，提高城市管理效率降低人工成本继而降低城管执法整体成本。</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效率性分析</w:t>
      </w:r>
      <w:r>
        <w:rPr>
          <w:rFonts w:hint="eastAsia" w:ascii="仿宋" w:hAnsi="仿宋" w:eastAsia="仿宋" w:cs="仿宋"/>
          <w:sz w:val="32"/>
          <w:szCs w:val="32"/>
          <w:lang w:eastAsia="zh-CN"/>
        </w:rPr>
        <w:t>：各项目按照既定要求合同约定有序进行，为存在踏进度施工项目。实施完成项目均按要求验收审计。</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w:t>
      </w:r>
      <w:r>
        <w:rPr>
          <w:rFonts w:hint="eastAsia" w:ascii="仿宋" w:hAnsi="仿宋" w:eastAsia="仿宋" w:cs="仿宋"/>
          <w:sz w:val="32"/>
          <w:szCs w:val="32"/>
        </w:rPr>
        <w:t>效益性分析</w:t>
      </w:r>
      <w:r>
        <w:rPr>
          <w:rFonts w:hint="eastAsia" w:ascii="仿宋" w:hAnsi="仿宋" w:eastAsia="仿宋" w:cs="仿宋"/>
          <w:sz w:val="32"/>
          <w:szCs w:val="32"/>
          <w:lang w:eastAsia="zh-CN"/>
        </w:rPr>
        <w:t>：保障了城市管理执法工作的顺利开展，进一步提高城市管理水平，不断提升城市品位，规范行政执法程序，严格文明执法，防控执法风险，保障行政相对人的合法权益。</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四、存在的问题</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部门内控建设还是存在不及时不到位，对内控建设重视不够，对内控建设认知狭隘，导致内控建设缓慢不实际。</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有关建议</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建议项目绩效与内部控制建设相结合挂钩，全区不单单培训财务人员内控和绩效工作知识，应将绩效管理及内控建设提高到预算管理的高度。</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after="0" w:line="560" w:lineRule="exact"/>
        <w:ind w:firstLine="594"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after="0"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560" w:lineRule="exact"/>
        <w:ind w:firstLine="2079" w:firstLineChars="7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昆明市呈贡区城市管理综合行政执法大队</w:t>
      </w:r>
    </w:p>
    <w:p>
      <w:pPr>
        <w:wordWrap/>
        <w:jc w:val="both"/>
        <w:rPr>
          <w:rFonts w:hint="default" w:eastAsia="微软雅黑"/>
          <w:lang w:val="en-US" w:eastAsia="zh-CN"/>
        </w:rPr>
      </w:pPr>
      <w:r>
        <w:rPr>
          <w:rFonts w:hint="eastAsia" w:ascii="仿宋" w:hAnsi="仿宋" w:eastAsia="仿宋" w:cs="仿宋"/>
          <w:sz w:val="32"/>
          <w:szCs w:val="32"/>
          <w:lang w:val="en-US" w:eastAsia="zh-CN"/>
        </w:rPr>
        <w:t xml:space="preserve">                           2022年3月10日</w:t>
      </w:r>
      <w:r>
        <w:rPr>
          <w:rFonts w:hint="eastAsia"/>
          <w:lang w:val="en-US" w:eastAsia="zh-CN"/>
        </w:rPr>
        <w:t xml:space="preserve">      </w:t>
      </w:r>
    </w:p>
    <w:p>
      <w:pPr>
        <w:topLinePunct/>
        <w:ind w:firstLine="594" w:firstLineChars="200"/>
        <w:jc w:val="both"/>
        <w:rPr>
          <w:rFonts w:ascii="仿宋_GB2312"/>
          <w:szCs w:val="32"/>
        </w:rPr>
      </w:pPr>
    </w:p>
    <w:p/>
    <w:sectPr>
      <w:pgSz w:w="11906" w:h="16838"/>
      <w:pgMar w:top="1723" w:right="1800" w:bottom="1723" w:left="1800" w:header="851" w:footer="992" w:gutter="0"/>
      <w:cols w:space="0" w:num="1"/>
      <w:rtlGutter w:val="0"/>
      <w:docGrid w:type="linesAndChars" w:linePitch="608" w:charSpace="-47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42F7A1"/>
    <w:multiLevelType w:val="singleLevel"/>
    <w:tmpl w:val="3742F7A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48"/>
  <w:drawingGridVerticalSpacing w:val="304"/>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D05C5"/>
    <w:rsid w:val="1A055A28"/>
    <w:rsid w:val="20EB51DE"/>
    <w:rsid w:val="40B2169B"/>
    <w:rsid w:val="411B32C9"/>
    <w:rsid w:val="451E77E1"/>
    <w:rsid w:val="68EA0DCD"/>
    <w:rsid w:val="6DBE2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jyjcg</dc:creator>
  <cp:lastModifiedBy>Administrator</cp:lastModifiedBy>
  <dcterms:modified xsi:type="dcterms:W3CDTF">2022-03-08T07:24:52Z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02A5F940FBEC433BBC2C2B44EC247A8A</vt:lpwstr>
  </property>
</Properties>
</file>