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ascii="黑体" w:eastAsia="黑体"/>
          <w:szCs w:val="32"/>
        </w:rPr>
      </w:pPr>
      <w:r>
        <w:rPr>
          <w:rFonts w:hint="eastAsia" w:ascii="黑体" w:eastAsia="黑体"/>
          <w:szCs w:val="32"/>
        </w:rPr>
        <w:t>附件</w:t>
      </w:r>
      <w:r>
        <w:rPr>
          <w:rFonts w:hint="eastAsia" w:ascii="黑体" w:eastAsia="黑体"/>
          <w:szCs w:val="32"/>
          <w:lang w:val="en-US" w:eastAsia="zh-CN"/>
        </w:rPr>
        <w:t>3-1</w:t>
      </w:r>
      <w:r>
        <w:rPr>
          <w:rFonts w:hint="eastAsia" w:ascii="黑体" w:eastAsia="黑体"/>
          <w:szCs w:val="32"/>
        </w:rPr>
        <w:t>：</w:t>
      </w:r>
    </w:p>
    <w:tbl>
      <w:tblPr>
        <w:tblStyle w:val="4"/>
        <w:tblW w:w="9174" w:type="dxa"/>
        <w:jc w:val="center"/>
        <w:tblLayout w:type="fixed"/>
        <w:tblCellMar>
          <w:top w:w="0" w:type="dxa"/>
          <w:left w:w="28" w:type="dxa"/>
          <w:bottom w:w="0" w:type="dxa"/>
          <w:right w:w="28" w:type="dxa"/>
        </w:tblCellMar>
      </w:tblPr>
      <w:tblGrid>
        <w:gridCol w:w="482"/>
        <w:gridCol w:w="635"/>
        <w:gridCol w:w="1085"/>
        <w:gridCol w:w="765"/>
        <w:gridCol w:w="2790"/>
        <w:gridCol w:w="3417"/>
      </w:tblGrid>
      <w:tr>
        <w:tblPrEx>
          <w:tblCellMar>
            <w:top w:w="0" w:type="dxa"/>
            <w:left w:w="28" w:type="dxa"/>
            <w:bottom w:w="0" w:type="dxa"/>
            <w:right w:w="28" w:type="dxa"/>
          </w:tblCellMar>
        </w:tblPrEx>
        <w:trPr>
          <w:tblHeader/>
          <w:jc w:val="center"/>
        </w:trPr>
        <w:tc>
          <w:tcPr>
            <w:tcW w:w="9174" w:type="dxa"/>
            <w:gridSpan w:val="6"/>
            <w:tcBorders>
              <w:bottom w:val="single" w:color="auto" w:sz="4" w:space="0"/>
            </w:tcBorders>
            <w:tcMar>
              <w:top w:w="10" w:type="dxa"/>
              <w:left w:w="10" w:type="dxa"/>
              <w:bottom w:w="0" w:type="dxa"/>
              <w:right w:w="10" w:type="dxa"/>
            </w:tcMar>
            <w:vAlign w:val="center"/>
          </w:tcPr>
          <w:p>
            <w:pPr>
              <w:spacing w:after="156" w:afterLines="50"/>
              <w:jc w:val="center"/>
              <w:rPr>
                <w:rFonts w:ascii="黑体" w:eastAsia="黑体"/>
                <w:b/>
                <w:bCs/>
                <w:sz w:val="18"/>
                <w:szCs w:val="18"/>
              </w:rPr>
            </w:pPr>
            <w:r>
              <w:rPr>
                <w:rFonts w:hint="eastAsia" w:ascii="黑体" w:eastAsia="黑体"/>
                <w:bCs/>
                <w:sz w:val="36"/>
                <w:szCs w:val="36"/>
                <w:lang w:val="en-US" w:eastAsia="zh-CN"/>
              </w:rPr>
              <w:t xml:space="preserve"> </w:t>
            </w:r>
            <w:r>
              <w:rPr>
                <w:rFonts w:hint="eastAsia" w:ascii="黑体" w:eastAsia="黑体"/>
                <w:bCs/>
                <w:sz w:val="36"/>
                <w:szCs w:val="36"/>
              </w:rPr>
              <w:t>部门整体支出绩效自评指标评分表</w:t>
            </w:r>
          </w:p>
        </w:tc>
      </w:tr>
      <w:tr>
        <w:tblPrEx>
          <w:tblCellMar>
            <w:top w:w="0" w:type="dxa"/>
            <w:left w:w="28" w:type="dxa"/>
            <w:bottom w:w="0" w:type="dxa"/>
            <w:right w:w="28" w:type="dxa"/>
          </w:tblCellMar>
        </w:tblPrEx>
        <w:trPr>
          <w:trHeight w:val="950" w:hRule="atLeast"/>
          <w:tblHeader/>
          <w:jc w:val="center"/>
        </w:trPr>
        <w:tc>
          <w:tcPr>
            <w:tcW w:w="482" w:type="dxa"/>
            <w:tcBorders>
              <w:top w:val="single" w:color="auto" w:sz="4" w:space="0"/>
              <w:left w:val="single" w:color="auto" w:sz="4" w:space="0"/>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一级</w:t>
            </w:r>
            <w:r>
              <w:rPr>
                <w:rFonts w:hint="eastAsia" w:ascii="仿宋_GB2312" w:hAnsi="仿宋_GB2312" w:eastAsia="仿宋_GB2312" w:cs="仿宋_GB2312"/>
                <w:b/>
                <w:bCs/>
                <w:sz w:val="21"/>
                <w:szCs w:val="21"/>
              </w:rPr>
              <w:br w:type="textWrapping"/>
            </w:r>
            <w:r>
              <w:rPr>
                <w:rFonts w:hint="eastAsia" w:ascii="仿宋_GB2312" w:hAnsi="仿宋_GB2312" w:eastAsia="仿宋_GB2312" w:cs="仿宋_GB2312"/>
                <w:b/>
                <w:bCs/>
                <w:sz w:val="21"/>
                <w:szCs w:val="21"/>
              </w:rPr>
              <w:t>指标</w:t>
            </w:r>
          </w:p>
        </w:tc>
        <w:tc>
          <w:tcPr>
            <w:tcW w:w="635"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二级</w:t>
            </w:r>
          </w:p>
          <w:p>
            <w:pPr>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指标</w:t>
            </w:r>
          </w:p>
        </w:tc>
        <w:tc>
          <w:tcPr>
            <w:tcW w:w="1085"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三级</w:t>
            </w:r>
          </w:p>
          <w:p>
            <w:pPr>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指标</w:t>
            </w:r>
          </w:p>
        </w:tc>
        <w:tc>
          <w:tcPr>
            <w:tcW w:w="765"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自评分</w:t>
            </w:r>
          </w:p>
        </w:tc>
        <w:tc>
          <w:tcPr>
            <w:tcW w:w="2790" w:type="dxa"/>
            <w:tcBorders>
              <w:top w:val="single" w:color="auto" w:sz="4" w:space="0"/>
              <w:left w:val="single" w:color="auto" w:sz="4" w:space="0"/>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指标解释</w:t>
            </w:r>
          </w:p>
        </w:tc>
        <w:tc>
          <w:tcPr>
            <w:tcW w:w="3417"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指标说明</w:t>
            </w:r>
          </w:p>
        </w:tc>
      </w:tr>
      <w:tr>
        <w:tblPrEx>
          <w:tblCellMar>
            <w:top w:w="0" w:type="dxa"/>
            <w:left w:w="28" w:type="dxa"/>
            <w:bottom w:w="0" w:type="dxa"/>
            <w:right w:w="28" w:type="dxa"/>
          </w:tblCellMar>
        </w:tblPrEx>
        <w:trPr>
          <w:trHeight w:val="1491" w:hRule="atLeast"/>
          <w:jc w:val="center"/>
        </w:trPr>
        <w:tc>
          <w:tcPr>
            <w:tcW w:w="482" w:type="dxa"/>
            <w:vMerge w:val="restart"/>
            <w:tcBorders>
              <w:top w:val="nil"/>
              <w:left w:val="single" w:color="auto" w:sz="4" w:space="0"/>
              <w:bottom w:val="single" w:color="auto" w:sz="4" w:space="0"/>
              <w:right w:val="single" w:color="auto" w:sz="4" w:space="0"/>
            </w:tcBorders>
            <w:tcMar>
              <w:top w:w="10" w:type="dxa"/>
              <w:left w:w="10" w:type="dxa"/>
              <w:bottom w:w="0" w:type="dxa"/>
              <w:right w:w="10" w:type="dxa"/>
            </w:tcMar>
            <w:textDirection w:val="tbRlV"/>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投   入（20分）</w:t>
            </w:r>
          </w:p>
        </w:tc>
        <w:tc>
          <w:tcPr>
            <w:tcW w:w="635" w:type="dxa"/>
            <w:vMerge w:val="restart"/>
            <w:tcBorders>
              <w:top w:val="nil"/>
              <w:left w:val="single" w:color="auto" w:sz="4" w:space="0"/>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目标</w:t>
            </w:r>
            <w:r>
              <w:rPr>
                <w:rFonts w:hint="eastAsia" w:ascii="仿宋_GB2312" w:hAnsi="仿宋_GB2312" w:eastAsia="仿宋_GB2312" w:cs="仿宋_GB2312"/>
                <w:sz w:val="21"/>
                <w:szCs w:val="21"/>
              </w:rPr>
              <w:br w:type="textWrapping"/>
            </w:r>
            <w:r>
              <w:rPr>
                <w:rFonts w:hint="eastAsia" w:ascii="仿宋_GB2312" w:hAnsi="仿宋_GB2312" w:eastAsia="仿宋_GB2312" w:cs="仿宋_GB2312"/>
                <w:sz w:val="21"/>
                <w:szCs w:val="21"/>
              </w:rPr>
              <w:t>设定（5分）</w:t>
            </w:r>
          </w:p>
        </w:tc>
        <w:tc>
          <w:tcPr>
            <w:tcW w:w="1085" w:type="dxa"/>
            <w:tcBorders>
              <w:top w:val="nil"/>
              <w:left w:val="nil"/>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绩效目标合理性（2分）</w:t>
            </w:r>
          </w:p>
        </w:tc>
        <w:tc>
          <w:tcPr>
            <w:tcW w:w="765" w:type="dxa"/>
            <w:tcBorders>
              <w:top w:val="single" w:color="auto" w:sz="4" w:space="0"/>
              <w:left w:val="nil"/>
              <w:bottom w:val="single" w:color="auto" w:sz="4" w:space="0"/>
              <w:right w:val="single" w:color="auto" w:sz="4" w:space="0"/>
            </w:tcBorders>
            <w:tcMar>
              <w:top w:w="10" w:type="dxa"/>
              <w:left w:w="10" w:type="dxa"/>
              <w:bottom w:w="0" w:type="dxa"/>
              <w:right w:w="10" w:type="dxa"/>
            </w:tcMar>
            <w:vAlign w:val="top"/>
          </w:tcPr>
          <w:p>
            <w:pPr>
              <w:tabs>
                <w:tab w:val="left" w:pos="2604"/>
              </w:tabs>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2</w:t>
            </w:r>
          </w:p>
        </w:tc>
        <w:tc>
          <w:tcPr>
            <w:tcW w:w="2790" w:type="dxa"/>
            <w:tcBorders>
              <w:top w:val="nil"/>
              <w:left w:val="single" w:color="auto" w:sz="4" w:space="0"/>
              <w:bottom w:val="single" w:color="auto" w:sz="4" w:space="0"/>
              <w:right w:val="single" w:color="auto" w:sz="4" w:space="0"/>
            </w:tcBorders>
            <w:tcMar>
              <w:top w:w="10" w:type="dxa"/>
              <w:left w:w="10" w:type="dxa"/>
              <w:bottom w:w="0" w:type="dxa"/>
              <w:right w:w="10" w:type="dxa"/>
            </w:tcMar>
            <w:vAlign w:val="center"/>
          </w:tcPr>
          <w:p>
            <w:pPr>
              <w:tabs>
                <w:tab w:val="left" w:pos="2604"/>
              </w:tabs>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部门所设立的整体绩效目标依据是否充分，是否符合客观实际，用以反映和考核部门整体绩效目标与部门履职、年度工作任务的相符性情况。</w:t>
            </w:r>
          </w:p>
        </w:tc>
        <w:tc>
          <w:tcPr>
            <w:tcW w:w="3417" w:type="dxa"/>
            <w:tcBorders>
              <w:top w:val="nil"/>
              <w:left w:val="nil"/>
              <w:bottom w:val="single" w:color="auto" w:sz="4" w:space="0"/>
              <w:right w:val="single" w:color="auto" w:sz="4" w:space="0"/>
            </w:tcBorders>
            <w:tcMar>
              <w:top w:w="10" w:type="dxa"/>
              <w:left w:w="10" w:type="dxa"/>
              <w:bottom w:w="0" w:type="dxa"/>
              <w:right w:w="10" w:type="dxa"/>
            </w:tcMar>
            <w:vAlign w:val="center"/>
          </w:tcPr>
          <w:p>
            <w:pPr>
              <w:spacing w:before="156" w:beforeLines="50" w:after="156" w:afterLines="5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①符合国家法律法规、国民经济和社会发展总体规划计1分；②符合部门“三定”方案确定的职责计0.5分；③是否符合部门制定的中长期实施规划计0.5分。</w:t>
            </w:r>
          </w:p>
        </w:tc>
      </w:tr>
      <w:tr>
        <w:tblPrEx>
          <w:tblCellMar>
            <w:top w:w="0" w:type="dxa"/>
            <w:left w:w="28" w:type="dxa"/>
            <w:bottom w:w="0" w:type="dxa"/>
            <w:right w:w="28" w:type="dxa"/>
          </w:tblCellMar>
        </w:tblPrEx>
        <w:trPr>
          <w:trHeight w:val="1674" w:hRule="atLeast"/>
          <w:jc w:val="center"/>
        </w:trPr>
        <w:tc>
          <w:tcPr>
            <w:tcW w:w="482" w:type="dxa"/>
            <w:vMerge w:val="continue"/>
            <w:tcBorders>
              <w:top w:val="nil"/>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1"/>
                <w:szCs w:val="21"/>
              </w:rPr>
            </w:pPr>
          </w:p>
        </w:tc>
        <w:tc>
          <w:tcPr>
            <w:tcW w:w="635" w:type="dxa"/>
            <w:vMerge w:val="continue"/>
            <w:tcBorders>
              <w:top w:val="nil"/>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1"/>
                <w:szCs w:val="21"/>
              </w:rPr>
            </w:pPr>
          </w:p>
        </w:tc>
        <w:tc>
          <w:tcPr>
            <w:tcW w:w="1085" w:type="dxa"/>
            <w:tcBorders>
              <w:top w:val="nil"/>
              <w:left w:val="nil"/>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绩效指标明确性（3分）</w:t>
            </w:r>
          </w:p>
        </w:tc>
        <w:tc>
          <w:tcPr>
            <w:tcW w:w="765" w:type="dxa"/>
            <w:tcBorders>
              <w:top w:val="single" w:color="auto" w:sz="4" w:space="0"/>
              <w:left w:val="nil"/>
              <w:bottom w:val="single" w:color="auto" w:sz="4" w:space="0"/>
              <w:right w:val="single" w:color="auto" w:sz="4" w:space="0"/>
            </w:tcBorders>
            <w:tcMar>
              <w:top w:w="10" w:type="dxa"/>
              <w:left w:w="10" w:type="dxa"/>
              <w:bottom w:w="0" w:type="dxa"/>
              <w:right w:w="10" w:type="dxa"/>
            </w:tcMar>
            <w:vAlign w:val="top"/>
          </w:tcPr>
          <w:p>
            <w:pPr>
              <w:tabs>
                <w:tab w:val="left" w:pos="2604"/>
              </w:tabs>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3</w:t>
            </w:r>
          </w:p>
        </w:tc>
        <w:tc>
          <w:tcPr>
            <w:tcW w:w="2790" w:type="dxa"/>
            <w:tcBorders>
              <w:top w:val="nil"/>
              <w:left w:val="single" w:color="auto" w:sz="4" w:space="0"/>
              <w:bottom w:val="single" w:color="auto" w:sz="4" w:space="0"/>
              <w:right w:val="single" w:color="auto" w:sz="4" w:space="0"/>
            </w:tcBorders>
            <w:tcMar>
              <w:top w:w="10" w:type="dxa"/>
              <w:left w:w="10" w:type="dxa"/>
              <w:bottom w:w="0" w:type="dxa"/>
              <w:right w:w="10" w:type="dxa"/>
            </w:tcMar>
            <w:vAlign w:val="center"/>
          </w:tcPr>
          <w:p>
            <w:pPr>
              <w:tabs>
                <w:tab w:val="left" w:pos="2604"/>
              </w:tabs>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部门依据整体绩效目标所设定的绩效指标是否清晰、细化、可衡量，用以反映和考核部门整体绩效目标的明细化情况。</w:t>
            </w:r>
          </w:p>
        </w:tc>
        <w:tc>
          <w:tcPr>
            <w:tcW w:w="3417" w:type="dxa"/>
            <w:tcBorders>
              <w:top w:val="nil"/>
              <w:left w:val="nil"/>
              <w:bottom w:val="single" w:color="auto" w:sz="4" w:space="0"/>
              <w:right w:val="single" w:color="auto" w:sz="4" w:space="0"/>
            </w:tcBorders>
            <w:tcMar>
              <w:top w:w="10" w:type="dxa"/>
              <w:left w:w="10" w:type="dxa"/>
              <w:bottom w:w="0" w:type="dxa"/>
              <w:right w:w="10" w:type="dxa"/>
            </w:tcMar>
            <w:vAlign w:val="center"/>
          </w:tcPr>
          <w:p>
            <w:pPr>
              <w:spacing w:before="156" w:beforeLines="50" w:after="156" w:afterLines="5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①将部门整体的绩效目标细化分解为具体的工作任务计1分；②通过清晰、可衡量的指标值予以体现计0.5分。③与部门年度的任务数或计划数相对应计0.5分；④与本年度部门预算资金相匹配计1分。</w:t>
            </w:r>
          </w:p>
        </w:tc>
      </w:tr>
      <w:tr>
        <w:tblPrEx>
          <w:tblCellMar>
            <w:top w:w="0" w:type="dxa"/>
            <w:left w:w="28" w:type="dxa"/>
            <w:bottom w:w="0" w:type="dxa"/>
            <w:right w:w="28" w:type="dxa"/>
          </w:tblCellMar>
        </w:tblPrEx>
        <w:trPr>
          <w:trHeight w:val="1548" w:hRule="atLeast"/>
          <w:jc w:val="center"/>
        </w:trPr>
        <w:tc>
          <w:tcPr>
            <w:tcW w:w="482" w:type="dxa"/>
            <w:vMerge w:val="continue"/>
            <w:tcBorders>
              <w:top w:val="nil"/>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1"/>
                <w:szCs w:val="21"/>
              </w:rPr>
            </w:pPr>
          </w:p>
        </w:tc>
        <w:tc>
          <w:tcPr>
            <w:tcW w:w="635" w:type="dxa"/>
            <w:vMerge w:val="restart"/>
            <w:tcBorders>
              <w:top w:val="nil"/>
              <w:left w:val="single" w:color="auto" w:sz="4" w:space="0"/>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预算</w:t>
            </w:r>
            <w:r>
              <w:rPr>
                <w:rFonts w:hint="eastAsia" w:ascii="仿宋_GB2312" w:hAnsi="仿宋_GB2312" w:eastAsia="仿宋_GB2312" w:cs="仿宋_GB2312"/>
                <w:sz w:val="21"/>
                <w:szCs w:val="21"/>
              </w:rPr>
              <w:br w:type="textWrapping"/>
            </w:r>
            <w:r>
              <w:rPr>
                <w:rFonts w:hint="eastAsia" w:ascii="仿宋_GB2312" w:hAnsi="仿宋_GB2312" w:eastAsia="仿宋_GB2312" w:cs="仿宋_GB2312"/>
                <w:sz w:val="21"/>
                <w:szCs w:val="21"/>
              </w:rPr>
              <w:t>配置（15分）</w:t>
            </w:r>
          </w:p>
        </w:tc>
        <w:tc>
          <w:tcPr>
            <w:tcW w:w="1085" w:type="dxa"/>
            <w:tcBorders>
              <w:top w:val="nil"/>
              <w:left w:val="nil"/>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在职人员控制率（5分）</w:t>
            </w:r>
          </w:p>
        </w:tc>
        <w:tc>
          <w:tcPr>
            <w:tcW w:w="765" w:type="dxa"/>
            <w:tcBorders>
              <w:top w:val="single" w:color="auto" w:sz="4" w:space="0"/>
              <w:left w:val="nil"/>
              <w:bottom w:val="single" w:color="auto" w:sz="4" w:space="0"/>
              <w:right w:val="single" w:color="auto" w:sz="4" w:space="0"/>
            </w:tcBorders>
            <w:tcMar>
              <w:top w:w="10" w:type="dxa"/>
              <w:left w:w="10" w:type="dxa"/>
              <w:bottom w:w="0" w:type="dxa"/>
              <w:right w:w="10" w:type="dxa"/>
            </w:tcMar>
            <w:vAlign w:val="top"/>
          </w:tcPr>
          <w:p>
            <w:pPr>
              <w:tabs>
                <w:tab w:val="left" w:pos="2604"/>
              </w:tabs>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5</w:t>
            </w:r>
          </w:p>
        </w:tc>
        <w:tc>
          <w:tcPr>
            <w:tcW w:w="2790" w:type="dxa"/>
            <w:tcBorders>
              <w:top w:val="nil"/>
              <w:left w:val="single" w:color="auto" w:sz="4" w:space="0"/>
              <w:bottom w:val="single" w:color="auto" w:sz="4" w:space="0"/>
              <w:right w:val="single" w:color="auto" w:sz="4" w:space="0"/>
            </w:tcBorders>
            <w:tcMar>
              <w:top w:w="10" w:type="dxa"/>
              <w:left w:w="10" w:type="dxa"/>
              <w:bottom w:w="0" w:type="dxa"/>
              <w:right w:w="10" w:type="dxa"/>
            </w:tcMar>
            <w:vAlign w:val="center"/>
          </w:tcPr>
          <w:p>
            <w:pPr>
              <w:tabs>
                <w:tab w:val="left" w:pos="2604"/>
              </w:tabs>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部门本年度实际在职人员数与编制数的比率，用以反映和考核部门对人员成本的控制程度。</w:t>
            </w:r>
          </w:p>
        </w:tc>
        <w:tc>
          <w:tcPr>
            <w:tcW w:w="3417" w:type="dxa"/>
            <w:tcBorders>
              <w:top w:val="nil"/>
              <w:left w:val="nil"/>
              <w:bottom w:val="single" w:color="auto" w:sz="4" w:space="0"/>
              <w:right w:val="single" w:color="auto" w:sz="4" w:space="0"/>
            </w:tcBorders>
            <w:tcMar>
              <w:top w:w="10" w:type="dxa"/>
              <w:left w:w="10" w:type="dxa"/>
              <w:bottom w:w="0" w:type="dxa"/>
              <w:right w:w="10" w:type="dxa"/>
            </w:tcMar>
            <w:vAlign w:val="center"/>
          </w:tcPr>
          <w:p>
            <w:pPr>
              <w:spacing w:before="156" w:beforeLines="50" w:after="156" w:afterLines="5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在职人员控制率=（在职人员数/编制数）×100%小于或等于1计5分，否则按比例计分。在职人员数：部门实际在职人数，以财政部确定的部门决算编制口径为准。编制数：机构编制部门核定批复的部门的人员编制数。</w:t>
            </w:r>
          </w:p>
        </w:tc>
      </w:tr>
      <w:tr>
        <w:tblPrEx>
          <w:tblCellMar>
            <w:top w:w="0" w:type="dxa"/>
            <w:left w:w="28" w:type="dxa"/>
            <w:bottom w:w="0" w:type="dxa"/>
            <w:right w:w="28" w:type="dxa"/>
          </w:tblCellMar>
        </w:tblPrEx>
        <w:trPr>
          <w:trHeight w:val="1856" w:hRule="atLeast"/>
          <w:jc w:val="center"/>
        </w:trPr>
        <w:tc>
          <w:tcPr>
            <w:tcW w:w="482" w:type="dxa"/>
            <w:vMerge w:val="continue"/>
            <w:tcBorders>
              <w:top w:val="nil"/>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1"/>
                <w:szCs w:val="21"/>
              </w:rPr>
            </w:pPr>
          </w:p>
        </w:tc>
        <w:tc>
          <w:tcPr>
            <w:tcW w:w="635" w:type="dxa"/>
            <w:vMerge w:val="continue"/>
            <w:tcBorders>
              <w:top w:val="nil"/>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1"/>
                <w:szCs w:val="21"/>
              </w:rPr>
            </w:pPr>
          </w:p>
        </w:tc>
        <w:tc>
          <w:tcPr>
            <w:tcW w:w="1085" w:type="dxa"/>
            <w:tcBorders>
              <w:top w:val="nil"/>
              <w:left w:val="nil"/>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“三公经费”变动率（5分）</w:t>
            </w:r>
          </w:p>
        </w:tc>
        <w:tc>
          <w:tcPr>
            <w:tcW w:w="765" w:type="dxa"/>
            <w:tcBorders>
              <w:top w:val="single" w:color="auto" w:sz="4" w:space="0"/>
              <w:left w:val="nil"/>
              <w:bottom w:val="single" w:color="auto" w:sz="4" w:space="0"/>
              <w:right w:val="single" w:color="auto" w:sz="4" w:space="0"/>
            </w:tcBorders>
            <w:tcMar>
              <w:top w:w="10" w:type="dxa"/>
              <w:left w:w="10" w:type="dxa"/>
              <w:bottom w:w="0" w:type="dxa"/>
              <w:right w:w="10" w:type="dxa"/>
            </w:tcMar>
            <w:vAlign w:val="top"/>
          </w:tcPr>
          <w:p>
            <w:pPr>
              <w:tabs>
                <w:tab w:val="left" w:pos="2604"/>
              </w:tabs>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5</w:t>
            </w:r>
          </w:p>
        </w:tc>
        <w:tc>
          <w:tcPr>
            <w:tcW w:w="2790" w:type="dxa"/>
            <w:tcBorders>
              <w:top w:val="nil"/>
              <w:left w:val="single" w:color="auto" w:sz="4" w:space="0"/>
              <w:bottom w:val="single" w:color="auto" w:sz="4" w:space="0"/>
              <w:right w:val="single" w:color="auto" w:sz="4" w:space="0"/>
            </w:tcBorders>
            <w:tcMar>
              <w:top w:w="10" w:type="dxa"/>
              <w:left w:w="10" w:type="dxa"/>
              <w:bottom w:w="0" w:type="dxa"/>
              <w:right w:w="10" w:type="dxa"/>
            </w:tcMar>
            <w:vAlign w:val="center"/>
          </w:tcPr>
          <w:p>
            <w:pPr>
              <w:tabs>
                <w:tab w:val="left" w:pos="2604"/>
              </w:tabs>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部门本年度“三公经费”预算数与上年度“三公经费”预算数的变动比率，用以反映和考核部门对控制重点行政成本的努力程度。</w:t>
            </w:r>
          </w:p>
        </w:tc>
        <w:tc>
          <w:tcPr>
            <w:tcW w:w="3417" w:type="dxa"/>
            <w:tcBorders>
              <w:top w:val="nil"/>
              <w:left w:val="nil"/>
              <w:bottom w:val="single" w:color="auto" w:sz="4" w:space="0"/>
              <w:right w:val="single" w:color="auto" w:sz="4" w:space="0"/>
            </w:tcBorders>
            <w:tcMar>
              <w:top w:w="10" w:type="dxa"/>
              <w:left w:w="10" w:type="dxa"/>
              <w:bottom w:w="0" w:type="dxa"/>
              <w:right w:w="10" w:type="dxa"/>
            </w:tcMar>
            <w:vAlign w:val="center"/>
          </w:tcPr>
          <w:p>
            <w:pPr>
              <w:spacing w:before="156" w:beforeLines="50" w:after="156" w:afterLines="5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三公经费”变动率=[（本年度“三公经费”总额-上年度“三公经费”总额）/上年度“三公经费”总额]×100%。下降的计5分，增加的按比例扣减。“三公经费”：年度预算安排的因公出国（境）费、公务车辆购置及运行费和公务招待费。</w:t>
            </w:r>
          </w:p>
        </w:tc>
      </w:tr>
      <w:tr>
        <w:tblPrEx>
          <w:tblCellMar>
            <w:top w:w="0" w:type="dxa"/>
            <w:left w:w="28" w:type="dxa"/>
            <w:bottom w:w="0" w:type="dxa"/>
            <w:right w:w="28" w:type="dxa"/>
          </w:tblCellMar>
        </w:tblPrEx>
        <w:trPr>
          <w:trHeight w:val="2218" w:hRule="atLeast"/>
          <w:jc w:val="center"/>
        </w:trPr>
        <w:tc>
          <w:tcPr>
            <w:tcW w:w="482" w:type="dxa"/>
            <w:vMerge w:val="continue"/>
            <w:tcBorders>
              <w:top w:val="nil"/>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1"/>
                <w:szCs w:val="21"/>
              </w:rPr>
            </w:pPr>
          </w:p>
        </w:tc>
        <w:tc>
          <w:tcPr>
            <w:tcW w:w="635" w:type="dxa"/>
            <w:vMerge w:val="continue"/>
            <w:tcBorders>
              <w:top w:val="nil"/>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1"/>
                <w:szCs w:val="21"/>
              </w:rPr>
            </w:pPr>
          </w:p>
        </w:tc>
        <w:tc>
          <w:tcPr>
            <w:tcW w:w="1085" w:type="dxa"/>
            <w:tcBorders>
              <w:top w:val="nil"/>
              <w:left w:val="nil"/>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重点支出安排率（5分）</w:t>
            </w:r>
          </w:p>
        </w:tc>
        <w:tc>
          <w:tcPr>
            <w:tcW w:w="765" w:type="dxa"/>
            <w:tcBorders>
              <w:top w:val="single" w:color="auto" w:sz="4" w:space="0"/>
              <w:left w:val="nil"/>
              <w:bottom w:val="single" w:color="auto" w:sz="4" w:space="0"/>
              <w:right w:val="single" w:color="auto" w:sz="4" w:space="0"/>
            </w:tcBorders>
            <w:tcMar>
              <w:top w:w="10" w:type="dxa"/>
              <w:left w:w="10" w:type="dxa"/>
              <w:bottom w:w="0" w:type="dxa"/>
              <w:right w:w="10" w:type="dxa"/>
            </w:tcMar>
            <w:vAlign w:val="top"/>
          </w:tcPr>
          <w:p>
            <w:pPr>
              <w:tabs>
                <w:tab w:val="left" w:pos="2604"/>
              </w:tabs>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5</w:t>
            </w:r>
          </w:p>
        </w:tc>
        <w:tc>
          <w:tcPr>
            <w:tcW w:w="2790" w:type="dxa"/>
            <w:tcBorders>
              <w:top w:val="nil"/>
              <w:left w:val="single" w:color="auto" w:sz="4" w:space="0"/>
              <w:bottom w:val="single" w:color="auto" w:sz="4" w:space="0"/>
              <w:right w:val="single" w:color="auto" w:sz="4" w:space="0"/>
            </w:tcBorders>
            <w:tcMar>
              <w:top w:w="10" w:type="dxa"/>
              <w:left w:w="10" w:type="dxa"/>
              <w:bottom w:w="0" w:type="dxa"/>
              <w:right w:w="10" w:type="dxa"/>
            </w:tcMar>
            <w:vAlign w:val="center"/>
          </w:tcPr>
          <w:p>
            <w:pPr>
              <w:tabs>
                <w:tab w:val="left" w:pos="2604"/>
              </w:tabs>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部门本年度预算安排的重点项目支出与部门项目总支出的比率，用以反映和考核部门对履行主要职责或完成重点任务的保障程度。</w:t>
            </w:r>
          </w:p>
        </w:tc>
        <w:tc>
          <w:tcPr>
            <w:tcW w:w="3417" w:type="dxa"/>
            <w:tcBorders>
              <w:top w:val="nil"/>
              <w:left w:val="nil"/>
              <w:bottom w:val="single" w:color="auto" w:sz="4" w:space="0"/>
              <w:right w:val="single" w:color="auto" w:sz="4" w:space="0"/>
            </w:tcBorders>
            <w:tcMar>
              <w:top w:w="10" w:type="dxa"/>
              <w:left w:w="10" w:type="dxa"/>
              <w:bottom w:w="0" w:type="dxa"/>
              <w:right w:w="10" w:type="dxa"/>
            </w:tcMar>
            <w:vAlign w:val="center"/>
          </w:tcPr>
          <w:p>
            <w:pPr>
              <w:spacing w:before="156" w:beforeLines="50" w:after="156" w:afterLines="5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重点支出安排率=（重点项目支出/项目总支出）×100%。实际得分=支出安排率*5分。重点项目支出：部门年度预算安排的，与本部门履职和发展密切相关、具有明显社会和经济影响、党委政府关心或社会比较关注的项目支出总额。项目总支出：部门年度预算安排的项目支出总额。</w:t>
            </w:r>
          </w:p>
        </w:tc>
      </w:tr>
      <w:tr>
        <w:tblPrEx>
          <w:tblCellMar>
            <w:top w:w="0" w:type="dxa"/>
            <w:left w:w="28" w:type="dxa"/>
            <w:bottom w:w="0" w:type="dxa"/>
            <w:right w:w="28" w:type="dxa"/>
          </w:tblCellMar>
        </w:tblPrEx>
        <w:trPr>
          <w:trHeight w:val="529" w:hRule="atLeast"/>
          <w:jc w:val="center"/>
        </w:trPr>
        <w:tc>
          <w:tcPr>
            <w:tcW w:w="482" w:type="dxa"/>
            <w:vMerge w:val="restart"/>
            <w:tcBorders>
              <w:top w:val="single" w:color="auto" w:sz="4" w:space="0"/>
              <w:left w:val="single" w:color="auto" w:sz="4" w:space="0"/>
              <w:bottom w:val="single" w:color="auto" w:sz="4" w:space="0"/>
              <w:right w:val="single" w:color="auto" w:sz="4" w:space="0"/>
            </w:tcBorders>
            <w:tcMar>
              <w:top w:w="10" w:type="dxa"/>
              <w:left w:w="10" w:type="dxa"/>
              <w:bottom w:w="0" w:type="dxa"/>
              <w:right w:w="10" w:type="dxa"/>
            </w:tcMar>
            <w:textDirection w:val="tbRlV"/>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过             程（30分）</w:t>
            </w:r>
          </w:p>
        </w:tc>
        <w:tc>
          <w:tcPr>
            <w:tcW w:w="635" w:type="dxa"/>
            <w:vMerge w:val="restart"/>
            <w:tcBorders>
              <w:top w:val="nil"/>
              <w:left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预算执行（20分）</w:t>
            </w:r>
          </w:p>
        </w:tc>
        <w:tc>
          <w:tcPr>
            <w:tcW w:w="1085" w:type="dxa"/>
            <w:tcBorders>
              <w:top w:val="nil"/>
              <w:left w:val="nil"/>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预算完成率(4分)</w:t>
            </w:r>
          </w:p>
        </w:tc>
        <w:tc>
          <w:tcPr>
            <w:tcW w:w="765" w:type="dxa"/>
            <w:tcBorders>
              <w:top w:val="single" w:color="auto" w:sz="4" w:space="0"/>
              <w:left w:val="nil"/>
              <w:bottom w:val="single" w:color="auto" w:sz="4" w:space="0"/>
              <w:right w:val="single" w:color="auto" w:sz="4" w:space="0"/>
            </w:tcBorders>
            <w:tcMar>
              <w:top w:w="10" w:type="dxa"/>
              <w:left w:w="10" w:type="dxa"/>
              <w:bottom w:w="0" w:type="dxa"/>
              <w:right w:w="10" w:type="dxa"/>
            </w:tcMar>
            <w:vAlign w:val="top"/>
          </w:tcPr>
          <w:p>
            <w:pPr>
              <w:tabs>
                <w:tab w:val="left" w:pos="2604"/>
              </w:tabs>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4</w:t>
            </w:r>
          </w:p>
        </w:tc>
        <w:tc>
          <w:tcPr>
            <w:tcW w:w="2790" w:type="dxa"/>
            <w:tcBorders>
              <w:top w:val="nil"/>
              <w:left w:val="single" w:color="auto" w:sz="4" w:space="0"/>
              <w:bottom w:val="single" w:color="auto" w:sz="4" w:space="0"/>
              <w:right w:val="single" w:color="auto" w:sz="4" w:space="0"/>
            </w:tcBorders>
            <w:tcMar>
              <w:top w:w="10" w:type="dxa"/>
              <w:left w:w="10" w:type="dxa"/>
              <w:bottom w:w="0" w:type="dxa"/>
              <w:right w:w="10" w:type="dxa"/>
            </w:tcMar>
            <w:vAlign w:val="center"/>
          </w:tcPr>
          <w:p>
            <w:pPr>
              <w:tabs>
                <w:tab w:val="left" w:pos="2604"/>
              </w:tabs>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部门本年度预算完成数与预算数的比率，用以反映和考核部门预算完成程度。</w:t>
            </w:r>
          </w:p>
        </w:tc>
        <w:tc>
          <w:tcPr>
            <w:tcW w:w="3417" w:type="dxa"/>
            <w:tcBorders>
              <w:top w:val="nil"/>
              <w:left w:val="nil"/>
              <w:bottom w:val="single" w:color="auto" w:sz="4" w:space="0"/>
              <w:right w:val="single" w:color="auto" w:sz="4" w:space="0"/>
            </w:tcBorders>
            <w:tcMar>
              <w:top w:w="10" w:type="dxa"/>
              <w:left w:w="10" w:type="dxa"/>
              <w:bottom w:w="0" w:type="dxa"/>
              <w:right w:w="10" w:type="dxa"/>
            </w:tcMar>
            <w:vAlign w:val="center"/>
          </w:tcPr>
          <w:p>
            <w:pPr>
              <w:spacing w:before="62" w:beforeLines="20" w:after="62" w:afterLines="2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预算完成率=（预算完成数/预算数）×100%。完成年初预算计4分，未完成年初预算按比例扣减，预算完成数：部门本年度实际完成的预算数。预算数：财政部门批复的本年度部门预算数。</w:t>
            </w:r>
          </w:p>
        </w:tc>
      </w:tr>
      <w:tr>
        <w:tblPrEx>
          <w:tblCellMar>
            <w:top w:w="0" w:type="dxa"/>
            <w:left w:w="28" w:type="dxa"/>
            <w:bottom w:w="0" w:type="dxa"/>
            <w:right w:w="28" w:type="dxa"/>
          </w:tblCellMar>
        </w:tblPrEx>
        <w:trPr>
          <w:trHeight w:val="1391" w:hRule="atLeast"/>
          <w:jc w:val="center"/>
        </w:trPr>
        <w:tc>
          <w:tcPr>
            <w:tcW w:w="482"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1"/>
                <w:szCs w:val="21"/>
              </w:rPr>
            </w:pPr>
          </w:p>
        </w:tc>
        <w:tc>
          <w:tcPr>
            <w:tcW w:w="635" w:type="dxa"/>
            <w:vMerge w:val="continue"/>
            <w:tcBorders>
              <w:left w:val="single" w:color="auto" w:sz="4" w:space="0"/>
              <w:right w:val="single" w:color="auto" w:sz="4" w:space="0"/>
            </w:tcBorders>
            <w:vAlign w:val="center"/>
          </w:tcPr>
          <w:p>
            <w:pPr>
              <w:jc w:val="center"/>
              <w:rPr>
                <w:rFonts w:hint="eastAsia" w:ascii="仿宋_GB2312" w:hAnsi="仿宋_GB2312" w:eastAsia="仿宋_GB2312" w:cs="仿宋_GB2312"/>
                <w:sz w:val="21"/>
                <w:szCs w:val="21"/>
              </w:rPr>
            </w:pPr>
          </w:p>
        </w:tc>
        <w:tc>
          <w:tcPr>
            <w:tcW w:w="1085" w:type="dxa"/>
            <w:tcBorders>
              <w:top w:val="nil"/>
              <w:left w:val="nil"/>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预算调整率（2分）</w:t>
            </w:r>
          </w:p>
        </w:tc>
        <w:tc>
          <w:tcPr>
            <w:tcW w:w="765" w:type="dxa"/>
            <w:tcBorders>
              <w:top w:val="single" w:color="auto" w:sz="4" w:space="0"/>
              <w:left w:val="nil"/>
              <w:bottom w:val="single" w:color="auto" w:sz="4" w:space="0"/>
              <w:right w:val="single" w:color="auto" w:sz="4" w:space="0"/>
            </w:tcBorders>
            <w:tcMar>
              <w:top w:w="10" w:type="dxa"/>
              <w:left w:w="10" w:type="dxa"/>
              <w:bottom w:w="0" w:type="dxa"/>
              <w:right w:w="10" w:type="dxa"/>
            </w:tcMar>
            <w:vAlign w:val="top"/>
          </w:tcPr>
          <w:p>
            <w:pPr>
              <w:tabs>
                <w:tab w:val="left" w:pos="2604"/>
              </w:tabs>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2</w:t>
            </w:r>
          </w:p>
        </w:tc>
        <w:tc>
          <w:tcPr>
            <w:tcW w:w="2790" w:type="dxa"/>
            <w:tcBorders>
              <w:top w:val="nil"/>
              <w:left w:val="single" w:color="auto" w:sz="4" w:space="0"/>
              <w:bottom w:val="single" w:color="auto" w:sz="4" w:space="0"/>
              <w:right w:val="single" w:color="auto" w:sz="4" w:space="0"/>
            </w:tcBorders>
            <w:tcMar>
              <w:top w:w="10" w:type="dxa"/>
              <w:left w:w="10" w:type="dxa"/>
              <w:bottom w:w="0" w:type="dxa"/>
              <w:right w:w="10" w:type="dxa"/>
            </w:tcMar>
            <w:vAlign w:val="center"/>
          </w:tcPr>
          <w:p>
            <w:pPr>
              <w:tabs>
                <w:tab w:val="left" w:pos="2604"/>
              </w:tabs>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部门本年度预算调整数与预算数的比率，用以反映和考核部门预算的调整程度。</w:t>
            </w:r>
          </w:p>
        </w:tc>
        <w:tc>
          <w:tcPr>
            <w:tcW w:w="3417" w:type="dxa"/>
            <w:tcBorders>
              <w:top w:val="nil"/>
              <w:left w:val="nil"/>
              <w:bottom w:val="single" w:color="auto" w:sz="4" w:space="0"/>
              <w:right w:val="single" w:color="auto" w:sz="4" w:space="0"/>
            </w:tcBorders>
            <w:tcMar>
              <w:top w:w="10" w:type="dxa"/>
              <w:left w:w="10" w:type="dxa"/>
              <w:bottom w:w="0" w:type="dxa"/>
              <w:right w:w="10" w:type="dxa"/>
            </w:tcMar>
            <w:vAlign w:val="center"/>
          </w:tcPr>
          <w:p>
            <w:pPr>
              <w:spacing w:before="62" w:beforeLines="20" w:after="62" w:afterLines="2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预算调整率=（预算调整数/预算数）×100%。未调整的计2分，调整了的除特殊原因外按比例扣减。预算调整数：部门在本年度内涉及预算的追加、追减或结构调整的资金总和（因落实国家政策、发生不可抗力、上级部门或同级党委政府临时交办而产生的调整除外）。</w:t>
            </w:r>
          </w:p>
        </w:tc>
      </w:tr>
      <w:tr>
        <w:tblPrEx>
          <w:tblCellMar>
            <w:top w:w="0" w:type="dxa"/>
            <w:left w:w="28" w:type="dxa"/>
            <w:bottom w:w="0" w:type="dxa"/>
            <w:right w:w="28" w:type="dxa"/>
          </w:tblCellMar>
        </w:tblPrEx>
        <w:trPr>
          <w:trHeight w:val="2018" w:hRule="atLeast"/>
          <w:jc w:val="center"/>
        </w:trPr>
        <w:tc>
          <w:tcPr>
            <w:tcW w:w="482"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1"/>
                <w:szCs w:val="21"/>
              </w:rPr>
            </w:pPr>
          </w:p>
        </w:tc>
        <w:tc>
          <w:tcPr>
            <w:tcW w:w="635" w:type="dxa"/>
            <w:vMerge w:val="continue"/>
            <w:tcBorders>
              <w:left w:val="single" w:color="auto" w:sz="4" w:space="0"/>
              <w:right w:val="single" w:color="auto" w:sz="4" w:space="0"/>
            </w:tcBorders>
            <w:vAlign w:val="center"/>
          </w:tcPr>
          <w:p>
            <w:pPr>
              <w:jc w:val="center"/>
              <w:rPr>
                <w:rFonts w:hint="eastAsia" w:ascii="仿宋_GB2312" w:hAnsi="仿宋_GB2312" w:eastAsia="仿宋_GB2312" w:cs="仿宋_GB2312"/>
                <w:sz w:val="21"/>
                <w:szCs w:val="21"/>
              </w:rPr>
            </w:pPr>
          </w:p>
        </w:tc>
        <w:tc>
          <w:tcPr>
            <w:tcW w:w="1085" w:type="dxa"/>
            <w:tcBorders>
              <w:top w:val="nil"/>
              <w:left w:val="nil"/>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支付进度率（2分）</w:t>
            </w:r>
          </w:p>
        </w:tc>
        <w:tc>
          <w:tcPr>
            <w:tcW w:w="765" w:type="dxa"/>
            <w:tcBorders>
              <w:top w:val="single" w:color="auto" w:sz="4" w:space="0"/>
              <w:left w:val="nil"/>
              <w:bottom w:val="single" w:color="auto" w:sz="4" w:space="0"/>
              <w:right w:val="single" w:color="auto" w:sz="4" w:space="0"/>
            </w:tcBorders>
            <w:tcMar>
              <w:top w:w="10" w:type="dxa"/>
              <w:left w:w="10" w:type="dxa"/>
              <w:bottom w:w="0" w:type="dxa"/>
              <w:right w:w="10" w:type="dxa"/>
            </w:tcMar>
            <w:vAlign w:val="top"/>
          </w:tcPr>
          <w:p>
            <w:pPr>
              <w:tabs>
                <w:tab w:val="left" w:pos="2604"/>
              </w:tabs>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2</w:t>
            </w:r>
          </w:p>
        </w:tc>
        <w:tc>
          <w:tcPr>
            <w:tcW w:w="2790" w:type="dxa"/>
            <w:tcBorders>
              <w:top w:val="nil"/>
              <w:left w:val="single" w:color="auto" w:sz="4" w:space="0"/>
              <w:bottom w:val="single" w:color="auto" w:sz="4" w:space="0"/>
              <w:right w:val="single" w:color="auto" w:sz="4" w:space="0"/>
            </w:tcBorders>
            <w:tcMar>
              <w:top w:w="10" w:type="dxa"/>
              <w:left w:w="10" w:type="dxa"/>
              <w:bottom w:w="0" w:type="dxa"/>
              <w:right w:w="10" w:type="dxa"/>
            </w:tcMar>
            <w:vAlign w:val="center"/>
          </w:tcPr>
          <w:p>
            <w:pPr>
              <w:tabs>
                <w:tab w:val="left" w:pos="2604"/>
              </w:tabs>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部门实际支付进度与既定支付进度的比率，用以反映和考核部门预算执行的及时性和均衡性程度。</w:t>
            </w:r>
          </w:p>
        </w:tc>
        <w:tc>
          <w:tcPr>
            <w:tcW w:w="3417" w:type="dxa"/>
            <w:tcBorders>
              <w:top w:val="nil"/>
              <w:left w:val="nil"/>
              <w:bottom w:val="single" w:color="auto" w:sz="4" w:space="0"/>
              <w:right w:val="single" w:color="auto" w:sz="4" w:space="0"/>
            </w:tcBorders>
            <w:tcMar>
              <w:top w:w="10" w:type="dxa"/>
              <w:left w:w="10" w:type="dxa"/>
              <w:bottom w:w="0" w:type="dxa"/>
              <w:right w:w="10" w:type="dxa"/>
            </w:tcMar>
            <w:vAlign w:val="center"/>
          </w:tcPr>
          <w:p>
            <w:pPr>
              <w:spacing w:before="62" w:beforeLines="20" w:after="62" w:afterLines="2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支付进度率=（实际支付进度/既定支付进度）×100%。完成年终进度的计1分，按季度完成预算进度的计1分。实际支付进度：部门在某一时点的支出预算执行总数与年度支出预算数的比率。既定支付进度：由部门在申报部门整体绩效目标时，参照序时支付进度、前三年支付进度、同级部门平均支付进度水平等确定的，在某一时点应达到的支付进度（比率）。</w:t>
            </w:r>
          </w:p>
        </w:tc>
      </w:tr>
      <w:tr>
        <w:tblPrEx>
          <w:tblCellMar>
            <w:top w:w="0" w:type="dxa"/>
            <w:left w:w="28" w:type="dxa"/>
            <w:bottom w:w="0" w:type="dxa"/>
            <w:right w:w="28" w:type="dxa"/>
          </w:tblCellMar>
        </w:tblPrEx>
        <w:trPr>
          <w:trHeight w:val="315" w:hRule="atLeast"/>
          <w:jc w:val="center"/>
        </w:trPr>
        <w:tc>
          <w:tcPr>
            <w:tcW w:w="482" w:type="dxa"/>
            <w:vMerge w:val="continue"/>
            <w:tcBorders>
              <w:top w:val="single" w:color="auto" w:sz="4" w:space="0"/>
              <w:left w:val="single" w:color="auto" w:sz="4" w:space="0"/>
              <w:bottom w:val="single" w:color="auto" w:sz="4" w:space="0"/>
              <w:right w:val="single" w:color="auto" w:sz="4" w:space="0"/>
            </w:tcBorders>
            <w:tcMar>
              <w:top w:w="10" w:type="dxa"/>
              <w:left w:w="10" w:type="dxa"/>
              <w:bottom w:w="0" w:type="dxa"/>
              <w:right w:w="10" w:type="dxa"/>
            </w:tcMar>
            <w:textDirection w:val="tbRlV"/>
            <w:vAlign w:val="center"/>
          </w:tcPr>
          <w:p>
            <w:pPr>
              <w:jc w:val="center"/>
              <w:rPr>
                <w:rFonts w:hint="eastAsia" w:ascii="仿宋_GB2312" w:hAnsi="仿宋_GB2312" w:eastAsia="仿宋_GB2312" w:cs="仿宋_GB2312"/>
                <w:sz w:val="21"/>
                <w:szCs w:val="21"/>
              </w:rPr>
            </w:pPr>
          </w:p>
        </w:tc>
        <w:tc>
          <w:tcPr>
            <w:tcW w:w="635" w:type="dxa"/>
            <w:vMerge w:val="continue"/>
            <w:tcBorders>
              <w:left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sz w:val="21"/>
                <w:szCs w:val="21"/>
              </w:rPr>
            </w:pPr>
          </w:p>
        </w:tc>
        <w:tc>
          <w:tcPr>
            <w:tcW w:w="1085"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结转结余控制率（4分）</w:t>
            </w:r>
          </w:p>
        </w:tc>
        <w:tc>
          <w:tcPr>
            <w:tcW w:w="765" w:type="dxa"/>
            <w:tcBorders>
              <w:top w:val="single" w:color="auto" w:sz="4" w:space="0"/>
              <w:left w:val="nil"/>
              <w:bottom w:val="single" w:color="auto" w:sz="4" w:space="0"/>
              <w:right w:val="single" w:color="auto" w:sz="4" w:space="0"/>
            </w:tcBorders>
            <w:tcMar>
              <w:top w:w="10" w:type="dxa"/>
              <w:left w:w="10" w:type="dxa"/>
              <w:bottom w:w="0" w:type="dxa"/>
              <w:right w:w="10" w:type="dxa"/>
            </w:tcMar>
            <w:vAlign w:val="top"/>
          </w:tcPr>
          <w:p>
            <w:pPr>
              <w:tabs>
                <w:tab w:val="left" w:pos="2604"/>
              </w:tabs>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4</w:t>
            </w:r>
          </w:p>
        </w:tc>
        <w:tc>
          <w:tcPr>
            <w:tcW w:w="2790" w:type="dxa"/>
            <w:tcBorders>
              <w:top w:val="single" w:color="auto" w:sz="4" w:space="0"/>
              <w:left w:val="single" w:color="auto" w:sz="4" w:space="0"/>
              <w:bottom w:val="single" w:color="auto" w:sz="4" w:space="0"/>
              <w:right w:val="single" w:color="auto" w:sz="4" w:space="0"/>
            </w:tcBorders>
            <w:tcMar>
              <w:top w:w="10" w:type="dxa"/>
              <w:left w:w="10" w:type="dxa"/>
              <w:bottom w:w="0" w:type="dxa"/>
              <w:right w:w="10" w:type="dxa"/>
            </w:tcMar>
            <w:vAlign w:val="center"/>
          </w:tcPr>
          <w:p>
            <w:pPr>
              <w:tabs>
                <w:tab w:val="left" w:pos="2604"/>
              </w:tabs>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部门本年度结转结余总额与上年结转结余总额增减比例，用以反映和考核部门对存量资金的实际控制程度。</w:t>
            </w:r>
          </w:p>
        </w:tc>
        <w:tc>
          <w:tcPr>
            <w:tcW w:w="3417"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结转结余控制率=（本年结转结余总额-上年结转结余总额）/上年结转结余总额×100%。低于15%的计4分，每超过5个百分点扣1分，扣完为止。结转结余总额：部门本年度的结转资金与结余资金之和（以决算数为准）。</w:t>
            </w:r>
          </w:p>
        </w:tc>
      </w:tr>
      <w:tr>
        <w:tblPrEx>
          <w:tblCellMar>
            <w:top w:w="0" w:type="dxa"/>
            <w:left w:w="28" w:type="dxa"/>
            <w:bottom w:w="0" w:type="dxa"/>
            <w:right w:w="28" w:type="dxa"/>
          </w:tblCellMar>
        </w:tblPrEx>
        <w:trPr>
          <w:trHeight w:val="1229" w:hRule="atLeast"/>
          <w:jc w:val="center"/>
        </w:trPr>
        <w:tc>
          <w:tcPr>
            <w:tcW w:w="482"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1"/>
                <w:szCs w:val="21"/>
              </w:rPr>
            </w:pPr>
          </w:p>
        </w:tc>
        <w:tc>
          <w:tcPr>
            <w:tcW w:w="635" w:type="dxa"/>
            <w:vMerge w:val="continue"/>
            <w:tcBorders>
              <w:left w:val="single" w:color="auto" w:sz="4" w:space="0"/>
              <w:right w:val="single" w:color="auto" w:sz="4" w:space="0"/>
            </w:tcBorders>
            <w:vAlign w:val="center"/>
          </w:tcPr>
          <w:p>
            <w:pPr>
              <w:rPr>
                <w:rFonts w:hint="eastAsia" w:ascii="仿宋_GB2312" w:hAnsi="仿宋_GB2312" w:eastAsia="仿宋_GB2312" w:cs="仿宋_GB2312"/>
                <w:sz w:val="21"/>
                <w:szCs w:val="21"/>
              </w:rPr>
            </w:pPr>
          </w:p>
        </w:tc>
        <w:tc>
          <w:tcPr>
            <w:tcW w:w="1085"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公用经费控制率（2分）</w:t>
            </w:r>
          </w:p>
        </w:tc>
        <w:tc>
          <w:tcPr>
            <w:tcW w:w="765" w:type="dxa"/>
            <w:tcBorders>
              <w:top w:val="single" w:color="auto" w:sz="4" w:space="0"/>
              <w:left w:val="nil"/>
              <w:bottom w:val="single" w:color="auto" w:sz="4" w:space="0"/>
              <w:right w:val="single" w:color="auto" w:sz="4" w:space="0"/>
            </w:tcBorders>
            <w:tcMar>
              <w:top w:w="10" w:type="dxa"/>
              <w:left w:w="10" w:type="dxa"/>
              <w:bottom w:w="0" w:type="dxa"/>
              <w:right w:w="10" w:type="dxa"/>
            </w:tcMar>
            <w:vAlign w:val="top"/>
          </w:tcPr>
          <w:p>
            <w:pPr>
              <w:tabs>
                <w:tab w:val="left" w:pos="2604"/>
              </w:tabs>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2</w:t>
            </w:r>
          </w:p>
        </w:tc>
        <w:tc>
          <w:tcPr>
            <w:tcW w:w="2790" w:type="dxa"/>
            <w:tcBorders>
              <w:top w:val="single" w:color="auto" w:sz="4" w:space="0"/>
              <w:left w:val="single" w:color="auto" w:sz="4" w:space="0"/>
              <w:bottom w:val="single" w:color="auto" w:sz="4" w:space="0"/>
              <w:right w:val="single" w:color="auto" w:sz="4" w:space="0"/>
            </w:tcBorders>
            <w:tcMar>
              <w:top w:w="10" w:type="dxa"/>
              <w:left w:w="10" w:type="dxa"/>
              <w:bottom w:w="0" w:type="dxa"/>
              <w:right w:w="10" w:type="dxa"/>
            </w:tcMar>
            <w:vAlign w:val="center"/>
          </w:tcPr>
          <w:p>
            <w:pPr>
              <w:tabs>
                <w:tab w:val="left" w:pos="2604"/>
              </w:tabs>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部门本年度实际支出的公用经费总额与预算安排的公用经费总额的比率，用以反映和考核部门对机构运转成本的实际控制程度。</w:t>
            </w:r>
          </w:p>
        </w:tc>
        <w:tc>
          <w:tcPr>
            <w:tcW w:w="3417"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公用经费控制率=（实际支出公用经费总额/预算安排公用经费总额）×100%。为100%的计2分，每超过1个百分点扣0.1分，扣完为止。</w:t>
            </w:r>
          </w:p>
        </w:tc>
      </w:tr>
      <w:tr>
        <w:tblPrEx>
          <w:tblCellMar>
            <w:top w:w="0" w:type="dxa"/>
            <w:left w:w="28" w:type="dxa"/>
            <w:bottom w:w="0" w:type="dxa"/>
            <w:right w:w="28" w:type="dxa"/>
          </w:tblCellMar>
        </w:tblPrEx>
        <w:trPr>
          <w:trHeight w:val="1090" w:hRule="atLeast"/>
          <w:jc w:val="center"/>
        </w:trPr>
        <w:tc>
          <w:tcPr>
            <w:tcW w:w="482"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1"/>
                <w:szCs w:val="21"/>
              </w:rPr>
            </w:pPr>
          </w:p>
        </w:tc>
        <w:tc>
          <w:tcPr>
            <w:tcW w:w="635" w:type="dxa"/>
            <w:vMerge w:val="continue"/>
            <w:tcBorders>
              <w:left w:val="single" w:color="auto" w:sz="4" w:space="0"/>
              <w:right w:val="single" w:color="auto" w:sz="4" w:space="0"/>
            </w:tcBorders>
            <w:vAlign w:val="center"/>
          </w:tcPr>
          <w:p>
            <w:pPr>
              <w:rPr>
                <w:rFonts w:hint="eastAsia" w:ascii="仿宋_GB2312" w:hAnsi="仿宋_GB2312" w:eastAsia="仿宋_GB2312" w:cs="仿宋_GB2312"/>
                <w:sz w:val="21"/>
                <w:szCs w:val="21"/>
              </w:rPr>
            </w:pPr>
          </w:p>
        </w:tc>
        <w:tc>
          <w:tcPr>
            <w:tcW w:w="1085"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“三公经费”控制率（2分）</w:t>
            </w:r>
          </w:p>
        </w:tc>
        <w:tc>
          <w:tcPr>
            <w:tcW w:w="765" w:type="dxa"/>
            <w:tcBorders>
              <w:top w:val="single" w:color="auto" w:sz="4" w:space="0"/>
              <w:left w:val="nil"/>
              <w:bottom w:val="single" w:color="auto" w:sz="4" w:space="0"/>
              <w:right w:val="single" w:color="auto" w:sz="4" w:space="0"/>
            </w:tcBorders>
            <w:tcMar>
              <w:top w:w="10" w:type="dxa"/>
              <w:left w:w="10" w:type="dxa"/>
              <w:bottom w:w="0" w:type="dxa"/>
              <w:right w:w="10" w:type="dxa"/>
            </w:tcMar>
            <w:vAlign w:val="top"/>
          </w:tcPr>
          <w:p>
            <w:pPr>
              <w:tabs>
                <w:tab w:val="left" w:pos="2604"/>
              </w:tabs>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2</w:t>
            </w:r>
          </w:p>
        </w:tc>
        <w:tc>
          <w:tcPr>
            <w:tcW w:w="2790" w:type="dxa"/>
            <w:tcBorders>
              <w:top w:val="single" w:color="auto" w:sz="4" w:space="0"/>
              <w:left w:val="single" w:color="auto" w:sz="4" w:space="0"/>
              <w:bottom w:val="single" w:color="auto" w:sz="4" w:space="0"/>
              <w:right w:val="single" w:color="auto" w:sz="4" w:space="0"/>
            </w:tcBorders>
            <w:tcMar>
              <w:top w:w="10" w:type="dxa"/>
              <w:left w:w="10" w:type="dxa"/>
              <w:bottom w:w="0" w:type="dxa"/>
              <w:right w:w="10" w:type="dxa"/>
            </w:tcMar>
            <w:vAlign w:val="center"/>
          </w:tcPr>
          <w:p>
            <w:pPr>
              <w:tabs>
                <w:tab w:val="left" w:pos="2604"/>
              </w:tabs>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部门本年度“三公经费”实际支出数与预算安排数的比率，用以反映和考核部门对“三公经费”的实际控制程度。</w:t>
            </w:r>
          </w:p>
        </w:tc>
        <w:tc>
          <w:tcPr>
            <w:tcW w:w="3417"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“三公经费”控制率=（“三公经费”实际支出数/“三公经费”预算安排数）×100%。为100%的计2分，每超过1个百分点扣0.5分，扣完为止。</w:t>
            </w:r>
          </w:p>
        </w:tc>
      </w:tr>
      <w:tr>
        <w:tblPrEx>
          <w:tblCellMar>
            <w:top w:w="0" w:type="dxa"/>
            <w:left w:w="28" w:type="dxa"/>
            <w:bottom w:w="0" w:type="dxa"/>
            <w:right w:w="28" w:type="dxa"/>
          </w:tblCellMar>
        </w:tblPrEx>
        <w:trPr>
          <w:trHeight w:val="287" w:hRule="atLeast"/>
          <w:jc w:val="center"/>
        </w:trPr>
        <w:tc>
          <w:tcPr>
            <w:tcW w:w="482"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1"/>
                <w:szCs w:val="21"/>
              </w:rPr>
            </w:pPr>
          </w:p>
        </w:tc>
        <w:tc>
          <w:tcPr>
            <w:tcW w:w="635" w:type="dxa"/>
            <w:vMerge w:val="continue"/>
            <w:tcBorders>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1"/>
                <w:szCs w:val="21"/>
              </w:rPr>
            </w:pPr>
          </w:p>
        </w:tc>
        <w:tc>
          <w:tcPr>
            <w:tcW w:w="1085" w:type="dxa"/>
            <w:tcBorders>
              <w:top w:val="nil"/>
              <w:left w:val="nil"/>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政府采购执行率（4分）</w:t>
            </w:r>
          </w:p>
        </w:tc>
        <w:tc>
          <w:tcPr>
            <w:tcW w:w="765" w:type="dxa"/>
            <w:tcBorders>
              <w:top w:val="single" w:color="auto" w:sz="4" w:space="0"/>
              <w:left w:val="nil"/>
              <w:bottom w:val="single" w:color="auto" w:sz="4" w:space="0"/>
              <w:right w:val="single" w:color="auto" w:sz="4" w:space="0"/>
            </w:tcBorders>
            <w:tcMar>
              <w:top w:w="10" w:type="dxa"/>
              <w:left w:w="10" w:type="dxa"/>
              <w:bottom w:w="0" w:type="dxa"/>
              <w:right w:w="10" w:type="dxa"/>
            </w:tcMar>
            <w:vAlign w:val="top"/>
          </w:tcPr>
          <w:p>
            <w:pPr>
              <w:tabs>
                <w:tab w:val="left" w:pos="2604"/>
              </w:tabs>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4</w:t>
            </w:r>
          </w:p>
        </w:tc>
        <w:tc>
          <w:tcPr>
            <w:tcW w:w="2790" w:type="dxa"/>
            <w:tcBorders>
              <w:top w:val="nil"/>
              <w:left w:val="single" w:color="auto" w:sz="4" w:space="0"/>
              <w:bottom w:val="single" w:color="auto" w:sz="4" w:space="0"/>
              <w:right w:val="single" w:color="auto" w:sz="4" w:space="0"/>
            </w:tcBorders>
            <w:tcMar>
              <w:top w:w="10" w:type="dxa"/>
              <w:left w:w="10" w:type="dxa"/>
              <w:bottom w:w="0" w:type="dxa"/>
              <w:right w:w="10" w:type="dxa"/>
            </w:tcMar>
            <w:vAlign w:val="center"/>
          </w:tcPr>
          <w:p>
            <w:pPr>
              <w:tabs>
                <w:tab w:val="left" w:pos="2604"/>
              </w:tabs>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部门本年度实际政府采购金额与年初政府采购预算的比率，用以反映和考核部门政府采购预算执行情况。</w:t>
            </w:r>
          </w:p>
        </w:tc>
        <w:tc>
          <w:tcPr>
            <w:tcW w:w="3417" w:type="dxa"/>
            <w:tcBorders>
              <w:top w:val="nil"/>
              <w:left w:val="nil"/>
              <w:bottom w:val="single" w:color="auto" w:sz="4" w:space="0"/>
              <w:right w:val="single" w:color="auto" w:sz="4" w:space="0"/>
            </w:tcBorders>
            <w:tcMar>
              <w:top w:w="10" w:type="dxa"/>
              <w:left w:w="10" w:type="dxa"/>
              <w:bottom w:w="0" w:type="dxa"/>
              <w:right w:w="10" w:type="dxa"/>
            </w:tcMar>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xml:space="preserve">政府采购执行率=（实际政府采购金额/政府采购预算数）×100%，为100%的计2分，每低于1个百分点扣0.5分，扣完为止；政府采购预算：采购机关根据事业发展计划和行政任务编制的、并经过规定程序批准的年度政府采购计划。 </w:t>
            </w:r>
          </w:p>
        </w:tc>
      </w:tr>
      <w:tr>
        <w:tblPrEx>
          <w:tblCellMar>
            <w:top w:w="0" w:type="dxa"/>
            <w:left w:w="28" w:type="dxa"/>
            <w:bottom w:w="0" w:type="dxa"/>
            <w:right w:w="28" w:type="dxa"/>
          </w:tblCellMar>
        </w:tblPrEx>
        <w:trPr>
          <w:trHeight w:val="1391" w:hRule="atLeast"/>
          <w:jc w:val="center"/>
        </w:trPr>
        <w:tc>
          <w:tcPr>
            <w:tcW w:w="482" w:type="dxa"/>
            <w:vMerge w:val="restart"/>
            <w:tcBorders>
              <w:top w:val="single" w:color="auto" w:sz="4" w:space="0"/>
              <w:left w:val="single" w:color="auto" w:sz="4" w:space="0"/>
              <w:right w:val="single" w:color="auto" w:sz="4" w:space="0"/>
            </w:tcBorders>
            <w:textDirection w:val="tbRlV"/>
            <w:vAlign w:val="center"/>
          </w:tcPr>
          <w:p>
            <w:pPr>
              <w:ind w:left="113" w:right="113"/>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过             程（30分）</w:t>
            </w:r>
          </w:p>
        </w:tc>
        <w:tc>
          <w:tcPr>
            <w:tcW w:w="635" w:type="dxa"/>
            <w:vMerge w:val="restart"/>
            <w:tcBorders>
              <w:top w:val="nil"/>
              <w:left w:val="single" w:color="auto" w:sz="4" w:space="0"/>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xml:space="preserve">         预算</w:t>
            </w:r>
          </w:p>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管理</w:t>
            </w:r>
          </w:p>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（5分）</w:t>
            </w:r>
          </w:p>
        </w:tc>
        <w:tc>
          <w:tcPr>
            <w:tcW w:w="1085" w:type="dxa"/>
            <w:tcBorders>
              <w:top w:val="nil"/>
              <w:left w:val="nil"/>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管理制度健全性（2分）</w:t>
            </w:r>
          </w:p>
        </w:tc>
        <w:tc>
          <w:tcPr>
            <w:tcW w:w="765" w:type="dxa"/>
            <w:tcBorders>
              <w:top w:val="single" w:color="auto" w:sz="4" w:space="0"/>
              <w:left w:val="nil"/>
              <w:bottom w:val="single" w:color="auto" w:sz="4" w:space="0"/>
              <w:right w:val="single" w:color="auto" w:sz="4" w:space="0"/>
            </w:tcBorders>
            <w:tcMar>
              <w:top w:w="10" w:type="dxa"/>
              <w:left w:w="10" w:type="dxa"/>
              <w:bottom w:w="0" w:type="dxa"/>
              <w:right w:w="10" w:type="dxa"/>
            </w:tcMar>
            <w:vAlign w:val="top"/>
          </w:tcPr>
          <w:p>
            <w:pPr>
              <w:tabs>
                <w:tab w:val="left" w:pos="2604"/>
              </w:tabs>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2</w:t>
            </w:r>
          </w:p>
        </w:tc>
        <w:tc>
          <w:tcPr>
            <w:tcW w:w="2790" w:type="dxa"/>
            <w:tcBorders>
              <w:top w:val="nil"/>
              <w:left w:val="single" w:color="auto" w:sz="4" w:space="0"/>
              <w:bottom w:val="single" w:color="auto" w:sz="4" w:space="0"/>
              <w:right w:val="single" w:color="auto" w:sz="4" w:space="0"/>
            </w:tcBorders>
            <w:tcMar>
              <w:top w:w="10" w:type="dxa"/>
              <w:left w:w="10" w:type="dxa"/>
              <w:bottom w:w="0" w:type="dxa"/>
              <w:right w:w="10" w:type="dxa"/>
            </w:tcMar>
            <w:vAlign w:val="center"/>
          </w:tcPr>
          <w:p>
            <w:pPr>
              <w:tabs>
                <w:tab w:val="left" w:pos="2604"/>
              </w:tabs>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部门为加强预算管理、规范财务行为而制定的管理制度是否健全完整，用以反映和考核部门预算管理制度对完成主要职责或促进事业发展的保障情况。</w:t>
            </w:r>
          </w:p>
        </w:tc>
        <w:tc>
          <w:tcPr>
            <w:tcW w:w="3417" w:type="dxa"/>
            <w:tcBorders>
              <w:top w:val="nil"/>
              <w:left w:val="nil"/>
              <w:bottom w:val="single" w:color="auto" w:sz="4" w:space="0"/>
              <w:right w:val="single" w:color="auto" w:sz="4" w:space="0"/>
            </w:tcBorders>
            <w:tcMar>
              <w:top w:w="10" w:type="dxa"/>
              <w:left w:w="10" w:type="dxa"/>
              <w:bottom w:w="0" w:type="dxa"/>
              <w:right w:w="10" w:type="dxa"/>
            </w:tcMar>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已制定或具有预算资金管理办法、内部财务管理制度、会计核算制度等管理制度计1分；相关管理制度合法、合规、完整计0.5分；相关管理制度得到有效执行计0.5分。</w:t>
            </w:r>
          </w:p>
        </w:tc>
      </w:tr>
      <w:tr>
        <w:tblPrEx>
          <w:tblCellMar>
            <w:top w:w="0" w:type="dxa"/>
            <w:left w:w="28" w:type="dxa"/>
            <w:bottom w:w="0" w:type="dxa"/>
            <w:right w:w="28" w:type="dxa"/>
          </w:tblCellMar>
        </w:tblPrEx>
        <w:trPr>
          <w:trHeight w:val="2001" w:hRule="atLeast"/>
          <w:jc w:val="center"/>
        </w:trPr>
        <w:tc>
          <w:tcPr>
            <w:tcW w:w="482" w:type="dxa"/>
            <w:vMerge w:val="continue"/>
            <w:tcBorders>
              <w:left w:val="single" w:color="auto" w:sz="4" w:space="0"/>
              <w:right w:val="single" w:color="auto" w:sz="4" w:space="0"/>
            </w:tcBorders>
            <w:vAlign w:val="center"/>
          </w:tcPr>
          <w:p>
            <w:pPr>
              <w:jc w:val="center"/>
              <w:rPr>
                <w:rFonts w:hint="eastAsia" w:ascii="仿宋_GB2312" w:hAnsi="仿宋_GB2312" w:eastAsia="仿宋_GB2312" w:cs="仿宋_GB2312"/>
                <w:sz w:val="21"/>
                <w:szCs w:val="21"/>
              </w:rPr>
            </w:pPr>
          </w:p>
        </w:tc>
        <w:tc>
          <w:tcPr>
            <w:tcW w:w="635" w:type="dxa"/>
            <w:vMerge w:val="continue"/>
            <w:tcBorders>
              <w:top w:val="nil"/>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1"/>
                <w:szCs w:val="21"/>
              </w:rPr>
            </w:pPr>
          </w:p>
        </w:tc>
        <w:tc>
          <w:tcPr>
            <w:tcW w:w="1085" w:type="dxa"/>
            <w:tcBorders>
              <w:top w:val="nil"/>
              <w:left w:val="nil"/>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资金使用合规性（1分）</w:t>
            </w:r>
          </w:p>
        </w:tc>
        <w:tc>
          <w:tcPr>
            <w:tcW w:w="765" w:type="dxa"/>
            <w:tcBorders>
              <w:top w:val="single" w:color="auto" w:sz="4" w:space="0"/>
              <w:left w:val="nil"/>
              <w:bottom w:val="single" w:color="auto" w:sz="4" w:space="0"/>
              <w:right w:val="single" w:color="auto" w:sz="4" w:space="0"/>
            </w:tcBorders>
            <w:tcMar>
              <w:top w:w="10" w:type="dxa"/>
              <w:left w:w="10" w:type="dxa"/>
              <w:bottom w:w="0" w:type="dxa"/>
              <w:right w:w="10" w:type="dxa"/>
            </w:tcMar>
            <w:vAlign w:val="top"/>
          </w:tcPr>
          <w:p>
            <w:pPr>
              <w:tabs>
                <w:tab w:val="left" w:pos="2604"/>
              </w:tabs>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1</w:t>
            </w:r>
          </w:p>
        </w:tc>
        <w:tc>
          <w:tcPr>
            <w:tcW w:w="2790" w:type="dxa"/>
            <w:tcBorders>
              <w:top w:val="nil"/>
              <w:left w:val="single" w:color="auto" w:sz="4" w:space="0"/>
              <w:bottom w:val="single" w:color="auto" w:sz="4" w:space="0"/>
              <w:right w:val="single" w:color="auto" w:sz="4" w:space="0"/>
            </w:tcBorders>
            <w:tcMar>
              <w:top w:w="10" w:type="dxa"/>
              <w:left w:w="10" w:type="dxa"/>
              <w:bottom w:w="0" w:type="dxa"/>
              <w:right w:w="10" w:type="dxa"/>
            </w:tcMar>
            <w:vAlign w:val="center"/>
          </w:tcPr>
          <w:p>
            <w:pPr>
              <w:tabs>
                <w:tab w:val="left" w:pos="2604"/>
              </w:tabs>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部门使用预算资金是否符合相关的预算财务管理制度的规定，用以反映和考核部门预算资金的规范运行情况。</w:t>
            </w:r>
          </w:p>
        </w:tc>
        <w:tc>
          <w:tcPr>
            <w:tcW w:w="3417" w:type="dxa"/>
            <w:tcBorders>
              <w:top w:val="nil"/>
              <w:left w:val="nil"/>
              <w:bottom w:val="single" w:color="auto" w:sz="4" w:space="0"/>
              <w:right w:val="single" w:color="auto" w:sz="4" w:space="0"/>
            </w:tcBorders>
            <w:tcMar>
              <w:top w:w="10" w:type="dxa"/>
              <w:left w:w="10" w:type="dxa"/>
              <w:bottom w:w="0" w:type="dxa"/>
              <w:right w:w="10" w:type="dxa"/>
            </w:tcMar>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①符合国家财经法规和财务管理制度规定以及有关专项资金管理办法的规定计0.2分；②资金的拨付有完整的审批程序和手续计0.2分；③项目的重大开支经过评估论证计0.2分；④符合部门预算批复的用途计0.2分；⑤不存在截留、挤占、挪用、虚列支出等情况计0.2分。</w:t>
            </w:r>
          </w:p>
        </w:tc>
      </w:tr>
      <w:tr>
        <w:tblPrEx>
          <w:tblCellMar>
            <w:top w:w="0" w:type="dxa"/>
            <w:left w:w="28" w:type="dxa"/>
            <w:bottom w:w="0" w:type="dxa"/>
            <w:right w:w="28" w:type="dxa"/>
          </w:tblCellMar>
        </w:tblPrEx>
        <w:trPr>
          <w:trHeight w:val="1391" w:hRule="atLeast"/>
          <w:jc w:val="center"/>
        </w:trPr>
        <w:tc>
          <w:tcPr>
            <w:tcW w:w="482" w:type="dxa"/>
            <w:vMerge w:val="continue"/>
            <w:tcBorders>
              <w:left w:val="single" w:color="auto" w:sz="4" w:space="0"/>
              <w:right w:val="single" w:color="auto" w:sz="4" w:space="0"/>
            </w:tcBorders>
            <w:vAlign w:val="center"/>
          </w:tcPr>
          <w:p>
            <w:pPr>
              <w:jc w:val="center"/>
              <w:rPr>
                <w:rFonts w:hint="eastAsia" w:ascii="仿宋_GB2312" w:hAnsi="仿宋_GB2312" w:eastAsia="仿宋_GB2312" w:cs="仿宋_GB2312"/>
                <w:sz w:val="21"/>
                <w:szCs w:val="21"/>
              </w:rPr>
            </w:pPr>
          </w:p>
        </w:tc>
        <w:tc>
          <w:tcPr>
            <w:tcW w:w="635" w:type="dxa"/>
            <w:vMerge w:val="continue"/>
            <w:tcBorders>
              <w:top w:val="nil"/>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1"/>
                <w:szCs w:val="21"/>
              </w:rPr>
            </w:pPr>
          </w:p>
        </w:tc>
        <w:tc>
          <w:tcPr>
            <w:tcW w:w="1085" w:type="dxa"/>
            <w:tcBorders>
              <w:top w:val="nil"/>
              <w:left w:val="nil"/>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预决算信息公开性（1分）</w:t>
            </w:r>
          </w:p>
        </w:tc>
        <w:tc>
          <w:tcPr>
            <w:tcW w:w="765" w:type="dxa"/>
            <w:tcBorders>
              <w:top w:val="single" w:color="auto" w:sz="4" w:space="0"/>
              <w:left w:val="nil"/>
              <w:bottom w:val="single" w:color="auto" w:sz="4" w:space="0"/>
              <w:right w:val="single" w:color="auto" w:sz="4" w:space="0"/>
            </w:tcBorders>
            <w:tcMar>
              <w:top w:w="10" w:type="dxa"/>
              <w:left w:w="10" w:type="dxa"/>
              <w:bottom w:w="0" w:type="dxa"/>
              <w:right w:w="10" w:type="dxa"/>
            </w:tcMar>
            <w:vAlign w:val="top"/>
          </w:tcPr>
          <w:p>
            <w:pPr>
              <w:tabs>
                <w:tab w:val="left" w:pos="2604"/>
              </w:tabs>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1</w:t>
            </w:r>
          </w:p>
        </w:tc>
        <w:tc>
          <w:tcPr>
            <w:tcW w:w="2790" w:type="dxa"/>
            <w:tcBorders>
              <w:top w:val="nil"/>
              <w:left w:val="single" w:color="auto" w:sz="4" w:space="0"/>
              <w:bottom w:val="single" w:color="auto" w:sz="4" w:space="0"/>
              <w:right w:val="single" w:color="auto" w:sz="4" w:space="0"/>
            </w:tcBorders>
            <w:tcMar>
              <w:top w:w="10" w:type="dxa"/>
              <w:left w:w="10" w:type="dxa"/>
              <w:bottom w:w="0" w:type="dxa"/>
              <w:right w:w="10" w:type="dxa"/>
            </w:tcMar>
            <w:vAlign w:val="center"/>
          </w:tcPr>
          <w:p>
            <w:pPr>
              <w:tabs>
                <w:tab w:val="left" w:pos="2604"/>
              </w:tabs>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部门是否按照政府信息公开有关规定公开相关预决算信息，用以反映和考核部门预决算管理的公开透明情况。</w:t>
            </w:r>
          </w:p>
        </w:tc>
        <w:tc>
          <w:tcPr>
            <w:tcW w:w="3417" w:type="dxa"/>
            <w:tcBorders>
              <w:top w:val="nil"/>
              <w:left w:val="nil"/>
              <w:bottom w:val="single" w:color="auto" w:sz="4" w:space="0"/>
              <w:right w:val="single" w:color="auto" w:sz="4" w:space="0"/>
            </w:tcBorders>
            <w:tcMar>
              <w:top w:w="10" w:type="dxa"/>
              <w:left w:w="10" w:type="dxa"/>
              <w:bottom w:w="0" w:type="dxa"/>
              <w:right w:w="10" w:type="dxa"/>
            </w:tcMar>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①按规定内容公开预决算信息计0.5分；②按规定时限公开预决算信息计0.5分。预决算信息是指与部门预算、执行、决算、监督、绩效等管理相关的信息。</w:t>
            </w:r>
          </w:p>
        </w:tc>
      </w:tr>
      <w:tr>
        <w:tblPrEx>
          <w:tblCellMar>
            <w:top w:w="0" w:type="dxa"/>
            <w:left w:w="28" w:type="dxa"/>
            <w:bottom w:w="0" w:type="dxa"/>
            <w:right w:w="28" w:type="dxa"/>
          </w:tblCellMar>
        </w:tblPrEx>
        <w:trPr>
          <w:trHeight w:val="1395" w:hRule="atLeast"/>
          <w:jc w:val="center"/>
        </w:trPr>
        <w:tc>
          <w:tcPr>
            <w:tcW w:w="482" w:type="dxa"/>
            <w:vMerge w:val="continue"/>
            <w:tcBorders>
              <w:left w:val="single" w:color="auto" w:sz="4" w:space="0"/>
              <w:right w:val="single" w:color="auto" w:sz="4" w:space="0"/>
            </w:tcBorders>
            <w:vAlign w:val="center"/>
          </w:tcPr>
          <w:p>
            <w:pPr>
              <w:jc w:val="center"/>
              <w:rPr>
                <w:rFonts w:hint="eastAsia" w:ascii="仿宋_GB2312" w:hAnsi="仿宋_GB2312" w:eastAsia="仿宋_GB2312" w:cs="仿宋_GB2312"/>
                <w:sz w:val="21"/>
                <w:szCs w:val="21"/>
              </w:rPr>
            </w:pPr>
          </w:p>
        </w:tc>
        <w:tc>
          <w:tcPr>
            <w:tcW w:w="635" w:type="dxa"/>
            <w:vMerge w:val="continue"/>
            <w:tcBorders>
              <w:top w:val="nil"/>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1"/>
                <w:szCs w:val="21"/>
              </w:rPr>
            </w:pPr>
          </w:p>
        </w:tc>
        <w:tc>
          <w:tcPr>
            <w:tcW w:w="1085" w:type="dxa"/>
            <w:tcBorders>
              <w:top w:val="nil"/>
              <w:left w:val="nil"/>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基础信息完善性（1分）</w:t>
            </w:r>
          </w:p>
        </w:tc>
        <w:tc>
          <w:tcPr>
            <w:tcW w:w="765" w:type="dxa"/>
            <w:tcBorders>
              <w:top w:val="single" w:color="auto" w:sz="4" w:space="0"/>
              <w:left w:val="nil"/>
              <w:bottom w:val="single" w:color="auto" w:sz="4" w:space="0"/>
              <w:right w:val="single" w:color="auto" w:sz="4" w:space="0"/>
            </w:tcBorders>
            <w:tcMar>
              <w:top w:w="10" w:type="dxa"/>
              <w:left w:w="10" w:type="dxa"/>
              <w:bottom w:w="0" w:type="dxa"/>
              <w:right w:w="10" w:type="dxa"/>
            </w:tcMar>
            <w:vAlign w:val="top"/>
          </w:tcPr>
          <w:p>
            <w:pPr>
              <w:tabs>
                <w:tab w:val="left" w:pos="2604"/>
              </w:tabs>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1</w:t>
            </w:r>
          </w:p>
        </w:tc>
        <w:tc>
          <w:tcPr>
            <w:tcW w:w="2790" w:type="dxa"/>
            <w:tcBorders>
              <w:top w:val="nil"/>
              <w:left w:val="single" w:color="auto" w:sz="4" w:space="0"/>
              <w:bottom w:val="single" w:color="auto" w:sz="4" w:space="0"/>
              <w:right w:val="single" w:color="auto" w:sz="4" w:space="0"/>
            </w:tcBorders>
            <w:tcMar>
              <w:top w:w="10" w:type="dxa"/>
              <w:left w:w="10" w:type="dxa"/>
              <w:bottom w:w="0" w:type="dxa"/>
              <w:right w:w="10" w:type="dxa"/>
            </w:tcMar>
            <w:vAlign w:val="center"/>
          </w:tcPr>
          <w:p>
            <w:pPr>
              <w:tabs>
                <w:tab w:val="left" w:pos="2604"/>
              </w:tabs>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部门基础信息是否完善，用以反映和考核基础信息对预算管理工作的支撑情况。</w:t>
            </w:r>
          </w:p>
        </w:tc>
        <w:tc>
          <w:tcPr>
            <w:tcW w:w="3417" w:type="dxa"/>
            <w:tcBorders>
              <w:top w:val="nil"/>
              <w:left w:val="nil"/>
              <w:bottom w:val="single" w:color="auto" w:sz="4" w:space="0"/>
              <w:right w:val="single" w:color="auto" w:sz="4" w:space="0"/>
            </w:tcBorders>
            <w:tcMar>
              <w:top w:w="10" w:type="dxa"/>
              <w:left w:w="10" w:type="dxa"/>
              <w:bottom w:w="0" w:type="dxa"/>
              <w:right w:w="10" w:type="dxa"/>
            </w:tcMar>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①基础数据信息和会计信息资料真实计0.4分；②基础数据信息和会计信息资料完整计0.3分；③基础数据信息和会计信息资料准确计0.3分。</w:t>
            </w:r>
          </w:p>
        </w:tc>
      </w:tr>
      <w:tr>
        <w:tblPrEx>
          <w:tblCellMar>
            <w:top w:w="0" w:type="dxa"/>
            <w:left w:w="28" w:type="dxa"/>
            <w:bottom w:w="0" w:type="dxa"/>
            <w:right w:w="28" w:type="dxa"/>
          </w:tblCellMar>
        </w:tblPrEx>
        <w:trPr>
          <w:trHeight w:val="90" w:hRule="atLeast"/>
          <w:jc w:val="center"/>
        </w:trPr>
        <w:tc>
          <w:tcPr>
            <w:tcW w:w="482" w:type="dxa"/>
            <w:vMerge w:val="continue"/>
            <w:tcBorders>
              <w:left w:val="single" w:color="auto" w:sz="4" w:space="0"/>
              <w:right w:val="single" w:color="auto" w:sz="4" w:space="0"/>
            </w:tcBorders>
            <w:tcMar>
              <w:top w:w="10" w:type="dxa"/>
              <w:left w:w="10" w:type="dxa"/>
              <w:bottom w:w="0" w:type="dxa"/>
              <w:right w:w="10" w:type="dxa"/>
            </w:tcMar>
            <w:textDirection w:val="tbRlV"/>
            <w:vAlign w:val="center"/>
          </w:tcPr>
          <w:p>
            <w:pPr>
              <w:jc w:val="center"/>
              <w:rPr>
                <w:rFonts w:hint="eastAsia" w:ascii="仿宋_GB2312" w:hAnsi="仿宋_GB2312" w:eastAsia="仿宋_GB2312" w:cs="仿宋_GB2312"/>
                <w:sz w:val="21"/>
                <w:szCs w:val="21"/>
              </w:rPr>
            </w:pPr>
          </w:p>
        </w:tc>
        <w:tc>
          <w:tcPr>
            <w:tcW w:w="635" w:type="dxa"/>
            <w:vMerge w:val="restart"/>
            <w:tcBorders>
              <w:top w:val="nil"/>
              <w:left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资产</w:t>
            </w:r>
            <w:r>
              <w:rPr>
                <w:rFonts w:hint="eastAsia" w:ascii="仿宋_GB2312" w:hAnsi="仿宋_GB2312" w:eastAsia="仿宋_GB2312" w:cs="仿宋_GB2312"/>
                <w:sz w:val="21"/>
                <w:szCs w:val="21"/>
              </w:rPr>
              <w:br w:type="textWrapping"/>
            </w:r>
            <w:r>
              <w:rPr>
                <w:rFonts w:hint="eastAsia" w:ascii="仿宋_GB2312" w:hAnsi="仿宋_GB2312" w:eastAsia="仿宋_GB2312" w:cs="仿宋_GB2312"/>
                <w:sz w:val="21"/>
                <w:szCs w:val="21"/>
              </w:rPr>
              <w:t>管理</w:t>
            </w:r>
          </w:p>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（5分）</w:t>
            </w:r>
          </w:p>
        </w:tc>
        <w:tc>
          <w:tcPr>
            <w:tcW w:w="1085" w:type="dxa"/>
            <w:tcBorders>
              <w:top w:val="nil"/>
              <w:left w:val="nil"/>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管理制度健全性（2分）</w:t>
            </w:r>
          </w:p>
        </w:tc>
        <w:tc>
          <w:tcPr>
            <w:tcW w:w="765" w:type="dxa"/>
            <w:tcBorders>
              <w:top w:val="single" w:color="auto" w:sz="4" w:space="0"/>
              <w:left w:val="nil"/>
              <w:bottom w:val="single" w:color="auto" w:sz="4" w:space="0"/>
              <w:right w:val="single" w:color="auto" w:sz="4" w:space="0"/>
            </w:tcBorders>
            <w:tcMar>
              <w:top w:w="10" w:type="dxa"/>
              <w:left w:w="10" w:type="dxa"/>
              <w:bottom w:w="0" w:type="dxa"/>
              <w:right w:w="10" w:type="dxa"/>
            </w:tcMar>
            <w:vAlign w:val="top"/>
          </w:tcPr>
          <w:p>
            <w:pPr>
              <w:tabs>
                <w:tab w:val="left" w:pos="2604"/>
              </w:tabs>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2</w:t>
            </w:r>
          </w:p>
        </w:tc>
        <w:tc>
          <w:tcPr>
            <w:tcW w:w="2790" w:type="dxa"/>
            <w:tcBorders>
              <w:top w:val="nil"/>
              <w:left w:val="single" w:color="auto" w:sz="4" w:space="0"/>
              <w:bottom w:val="single" w:color="auto" w:sz="4" w:space="0"/>
              <w:right w:val="single" w:color="auto" w:sz="4" w:space="0"/>
            </w:tcBorders>
            <w:tcMar>
              <w:top w:w="10" w:type="dxa"/>
              <w:left w:w="10" w:type="dxa"/>
              <w:bottom w:w="0" w:type="dxa"/>
              <w:right w:w="10" w:type="dxa"/>
            </w:tcMar>
            <w:vAlign w:val="center"/>
          </w:tcPr>
          <w:p>
            <w:pPr>
              <w:tabs>
                <w:tab w:val="left" w:pos="2604"/>
              </w:tabs>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部门为加强资产管理、规范资产管理行为而制定的管理制度是否健全完整，用以反映和考核部门资产管理制度对完成主要职责或促进社会发展的保障情况。</w:t>
            </w:r>
          </w:p>
        </w:tc>
        <w:tc>
          <w:tcPr>
            <w:tcW w:w="3417" w:type="dxa"/>
            <w:tcBorders>
              <w:top w:val="nil"/>
              <w:left w:val="nil"/>
              <w:bottom w:val="single" w:color="auto" w:sz="4" w:space="0"/>
              <w:right w:val="single" w:color="auto" w:sz="4" w:space="0"/>
            </w:tcBorders>
            <w:tcMar>
              <w:top w:w="10" w:type="dxa"/>
              <w:left w:w="10" w:type="dxa"/>
              <w:bottom w:w="0" w:type="dxa"/>
              <w:right w:w="10" w:type="dxa"/>
            </w:tcMar>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①制定或具有资产管理制度计1分；②相关资金管理制度合法、合规、完整计0.5分；③相关资产管理制度得到有效执行计0.5分。</w:t>
            </w:r>
          </w:p>
        </w:tc>
      </w:tr>
      <w:tr>
        <w:tblPrEx>
          <w:tblCellMar>
            <w:top w:w="0" w:type="dxa"/>
            <w:left w:w="28" w:type="dxa"/>
            <w:bottom w:w="0" w:type="dxa"/>
            <w:right w:w="28" w:type="dxa"/>
          </w:tblCellMar>
        </w:tblPrEx>
        <w:trPr>
          <w:trHeight w:val="1532" w:hRule="atLeast"/>
          <w:jc w:val="center"/>
        </w:trPr>
        <w:tc>
          <w:tcPr>
            <w:tcW w:w="482" w:type="dxa"/>
            <w:vMerge w:val="continue"/>
            <w:tcBorders>
              <w:left w:val="single" w:color="auto" w:sz="4" w:space="0"/>
              <w:right w:val="single" w:color="auto" w:sz="4" w:space="0"/>
            </w:tcBorders>
            <w:vAlign w:val="center"/>
          </w:tcPr>
          <w:p>
            <w:pPr>
              <w:rPr>
                <w:rFonts w:hint="eastAsia" w:ascii="仿宋_GB2312" w:hAnsi="仿宋_GB2312" w:eastAsia="仿宋_GB2312" w:cs="仿宋_GB2312"/>
                <w:sz w:val="21"/>
                <w:szCs w:val="21"/>
              </w:rPr>
            </w:pPr>
          </w:p>
        </w:tc>
        <w:tc>
          <w:tcPr>
            <w:tcW w:w="635" w:type="dxa"/>
            <w:vMerge w:val="continue"/>
            <w:tcBorders>
              <w:left w:val="single" w:color="auto" w:sz="4" w:space="0"/>
              <w:right w:val="single" w:color="auto" w:sz="4" w:space="0"/>
            </w:tcBorders>
            <w:vAlign w:val="center"/>
          </w:tcPr>
          <w:p>
            <w:pPr>
              <w:jc w:val="center"/>
              <w:rPr>
                <w:rFonts w:hint="eastAsia" w:ascii="仿宋_GB2312" w:hAnsi="仿宋_GB2312" w:eastAsia="仿宋_GB2312" w:cs="仿宋_GB2312"/>
                <w:sz w:val="21"/>
                <w:szCs w:val="21"/>
              </w:rPr>
            </w:pPr>
          </w:p>
        </w:tc>
        <w:tc>
          <w:tcPr>
            <w:tcW w:w="1085"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资产管理安全性（2分）</w:t>
            </w:r>
          </w:p>
        </w:tc>
        <w:tc>
          <w:tcPr>
            <w:tcW w:w="765" w:type="dxa"/>
            <w:tcBorders>
              <w:top w:val="single" w:color="auto" w:sz="4" w:space="0"/>
              <w:left w:val="nil"/>
              <w:bottom w:val="single" w:color="auto" w:sz="4" w:space="0"/>
              <w:right w:val="single" w:color="auto" w:sz="4" w:space="0"/>
            </w:tcBorders>
            <w:tcMar>
              <w:top w:w="10" w:type="dxa"/>
              <w:left w:w="10" w:type="dxa"/>
              <w:bottom w:w="0" w:type="dxa"/>
              <w:right w:w="10" w:type="dxa"/>
            </w:tcMar>
            <w:vAlign w:val="top"/>
          </w:tcPr>
          <w:p>
            <w:pPr>
              <w:tabs>
                <w:tab w:val="left" w:pos="761"/>
                <w:tab w:val="left" w:pos="2604"/>
              </w:tabs>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2</w:t>
            </w:r>
          </w:p>
        </w:tc>
        <w:tc>
          <w:tcPr>
            <w:tcW w:w="2790" w:type="dxa"/>
            <w:tcBorders>
              <w:top w:val="single" w:color="auto" w:sz="4" w:space="0"/>
              <w:left w:val="single" w:color="auto" w:sz="4" w:space="0"/>
              <w:bottom w:val="single" w:color="auto" w:sz="4" w:space="0"/>
              <w:right w:val="single" w:color="auto" w:sz="4" w:space="0"/>
            </w:tcBorders>
            <w:tcMar>
              <w:top w:w="10" w:type="dxa"/>
              <w:left w:w="10" w:type="dxa"/>
              <w:bottom w:w="0" w:type="dxa"/>
              <w:right w:w="10" w:type="dxa"/>
            </w:tcMar>
            <w:vAlign w:val="center"/>
          </w:tcPr>
          <w:p>
            <w:pPr>
              <w:tabs>
                <w:tab w:val="left" w:pos="761"/>
                <w:tab w:val="left" w:pos="2604"/>
              </w:tabs>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部门的资产是否保存完整、使用合规、配置合理、处置规范、收入及时足额上缴，用以反映和考核部门资产安全运行情况。</w:t>
            </w:r>
          </w:p>
        </w:tc>
        <w:tc>
          <w:tcPr>
            <w:tcW w:w="3417"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①资产保存完整计0.4分；②资产配置合理计0.4分；③资产处置规范计0.4分；④资产账务管理合规、帐实相符计0.4分；⑤资产有偿使用及处置收入及时足额上缴计0.4分。</w:t>
            </w:r>
          </w:p>
        </w:tc>
      </w:tr>
      <w:tr>
        <w:tblPrEx>
          <w:tblCellMar>
            <w:top w:w="0" w:type="dxa"/>
            <w:left w:w="28" w:type="dxa"/>
            <w:bottom w:w="0" w:type="dxa"/>
            <w:right w:w="28" w:type="dxa"/>
          </w:tblCellMar>
        </w:tblPrEx>
        <w:trPr>
          <w:trHeight w:val="1110" w:hRule="atLeast"/>
          <w:jc w:val="center"/>
        </w:trPr>
        <w:tc>
          <w:tcPr>
            <w:tcW w:w="482" w:type="dxa"/>
            <w:vMerge w:val="continue"/>
            <w:tcBorders>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1"/>
                <w:szCs w:val="21"/>
              </w:rPr>
            </w:pPr>
          </w:p>
        </w:tc>
        <w:tc>
          <w:tcPr>
            <w:tcW w:w="635" w:type="dxa"/>
            <w:vMerge w:val="continue"/>
            <w:tcBorders>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1"/>
                <w:szCs w:val="21"/>
              </w:rPr>
            </w:pPr>
          </w:p>
        </w:tc>
        <w:tc>
          <w:tcPr>
            <w:tcW w:w="1085"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固定资产利用率（1分）</w:t>
            </w:r>
          </w:p>
        </w:tc>
        <w:tc>
          <w:tcPr>
            <w:tcW w:w="765" w:type="dxa"/>
            <w:tcBorders>
              <w:top w:val="single" w:color="auto" w:sz="4" w:space="0"/>
              <w:left w:val="nil"/>
              <w:bottom w:val="single" w:color="auto" w:sz="4" w:space="0"/>
              <w:right w:val="single" w:color="auto" w:sz="4" w:space="0"/>
            </w:tcBorders>
            <w:tcMar>
              <w:top w:w="10" w:type="dxa"/>
              <w:left w:w="10" w:type="dxa"/>
              <w:bottom w:w="0" w:type="dxa"/>
              <w:right w:w="10" w:type="dxa"/>
            </w:tcMar>
            <w:vAlign w:val="top"/>
          </w:tcPr>
          <w:p>
            <w:pPr>
              <w:tabs>
                <w:tab w:val="left" w:pos="2604"/>
              </w:tabs>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1</w:t>
            </w:r>
          </w:p>
        </w:tc>
        <w:tc>
          <w:tcPr>
            <w:tcW w:w="2790" w:type="dxa"/>
            <w:tcBorders>
              <w:top w:val="single" w:color="auto" w:sz="4" w:space="0"/>
              <w:left w:val="single" w:color="auto" w:sz="4" w:space="0"/>
              <w:bottom w:val="single" w:color="auto" w:sz="4" w:space="0"/>
              <w:right w:val="single" w:color="auto" w:sz="4" w:space="0"/>
            </w:tcBorders>
            <w:tcMar>
              <w:top w:w="10" w:type="dxa"/>
              <w:left w:w="10" w:type="dxa"/>
              <w:bottom w:w="0" w:type="dxa"/>
              <w:right w:w="10" w:type="dxa"/>
            </w:tcMar>
            <w:vAlign w:val="center"/>
          </w:tcPr>
          <w:p>
            <w:pPr>
              <w:tabs>
                <w:tab w:val="left" w:pos="2604"/>
              </w:tabs>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部门实际在用固定资产总额与所有固定资产总额的比率，用以反映和考核部门固定资产使用效率程度。</w:t>
            </w:r>
          </w:p>
        </w:tc>
        <w:tc>
          <w:tcPr>
            <w:tcW w:w="3417"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固定资产利用率=（实际在用固定资产总额/所有固定资产总额）×100%。利用率为100%的计1分，每降1个百分点扣0.1分，扣完为止。</w:t>
            </w:r>
          </w:p>
        </w:tc>
      </w:tr>
      <w:tr>
        <w:tblPrEx>
          <w:tblCellMar>
            <w:top w:w="0" w:type="dxa"/>
            <w:left w:w="28" w:type="dxa"/>
            <w:bottom w:w="0" w:type="dxa"/>
            <w:right w:w="28" w:type="dxa"/>
          </w:tblCellMar>
        </w:tblPrEx>
        <w:trPr>
          <w:trHeight w:val="832" w:hRule="atLeast"/>
          <w:jc w:val="center"/>
        </w:trPr>
        <w:tc>
          <w:tcPr>
            <w:tcW w:w="482" w:type="dxa"/>
            <w:vMerge w:val="restart"/>
            <w:tcBorders>
              <w:top w:val="nil"/>
              <w:left w:val="single" w:color="auto" w:sz="4" w:space="0"/>
              <w:bottom w:val="single" w:color="auto" w:sz="4" w:space="0"/>
              <w:right w:val="single" w:color="auto" w:sz="4" w:space="0"/>
            </w:tcBorders>
            <w:tcMar>
              <w:top w:w="10" w:type="dxa"/>
              <w:left w:w="10" w:type="dxa"/>
              <w:bottom w:w="0" w:type="dxa"/>
              <w:right w:w="10" w:type="dxa"/>
            </w:tcMar>
            <w:textDirection w:val="tbRlV"/>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产   出（30分）</w:t>
            </w:r>
          </w:p>
        </w:tc>
        <w:tc>
          <w:tcPr>
            <w:tcW w:w="635" w:type="dxa"/>
            <w:vMerge w:val="restart"/>
            <w:tcBorders>
              <w:top w:val="nil"/>
              <w:left w:val="single" w:color="auto" w:sz="4" w:space="0"/>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职责</w:t>
            </w:r>
            <w:r>
              <w:rPr>
                <w:rFonts w:hint="eastAsia" w:ascii="仿宋_GB2312" w:hAnsi="仿宋_GB2312" w:eastAsia="仿宋_GB2312" w:cs="仿宋_GB2312"/>
                <w:sz w:val="21"/>
                <w:szCs w:val="21"/>
              </w:rPr>
              <w:br w:type="textWrapping"/>
            </w:r>
            <w:r>
              <w:rPr>
                <w:rFonts w:hint="eastAsia" w:ascii="仿宋_GB2312" w:hAnsi="仿宋_GB2312" w:eastAsia="仿宋_GB2312" w:cs="仿宋_GB2312"/>
                <w:sz w:val="21"/>
                <w:szCs w:val="21"/>
              </w:rPr>
              <w:t>履行</w:t>
            </w:r>
          </w:p>
        </w:tc>
        <w:tc>
          <w:tcPr>
            <w:tcW w:w="1085" w:type="dxa"/>
            <w:tcBorders>
              <w:top w:val="nil"/>
              <w:left w:val="nil"/>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实际完成率（8分）</w:t>
            </w:r>
          </w:p>
        </w:tc>
        <w:tc>
          <w:tcPr>
            <w:tcW w:w="765" w:type="dxa"/>
            <w:tcBorders>
              <w:top w:val="single" w:color="auto" w:sz="4" w:space="0"/>
              <w:left w:val="nil"/>
              <w:bottom w:val="single" w:color="auto" w:sz="4" w:space="0"/>
              <w:right w:val="single" w:color="auto" w:sz="4" w:space="0"/>
            </w:tcBorders>
            <w:tcMar>
              <w:top w:w="10" w:type="dxa"/>
              <w:left w:w="10" w:type="dxa"/>
              <w:bottom w:w="0" w:type="dxa"/>
              <w:right w:w="10" w:type="dxa"/>
            </w:tcMar>
            <w:vAlign w:val="top"/>
          </w:tcPr>
          <w:p>
            <w:pPr>
              <w:tabs>
                <w:tab w:val="left" w:pos="2604"/>
              </w:tabs>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8</w:t>
            </w:r>
          </w:p>
        </w:tc>
        <w:tc>
          <w:tcPr>
            <w:tcW w:w="2790" w:type="dxa"/>
            <w:tcBorders>
              <w:top w:val="nil"/>
              <w:left w:val="single" w:color="auto" w:sz="4" w:space="0"/>
              <w:bottom w:val="single" w:color="auto" w:sz="4" w:space="0"/>
              <w:right w:val="single" w:color="auto" w:sz="4" w:space="0"/>
            </w:tcBorders>
            <w:tcMar>
              <w:top w:w="10" w:type="dxa"/>
              <w:left w:w="10" w:type="dxa"/>
              <w:bottom w:w="0" w:type="dxa"/>
              <w:right w:w="10" w:type="dxa"/>
            </w:tcMar>
            <w:vAlign w:val="center"/>
          </w:tcPr>
          <w:p>
            <w:pPr>
              <w:tabs>
                <w:tab w:val="left" w:pos="2604"/>
              </w:tabs>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部门履行职责而实际完成工作数与计划工作数的比率，用以反映和考核部门履职工作任务目标的实现程度。</w:t>
            </w:r>
          </w:p>
        </w:tc>
        <w:tc>
          <w:tcPr>
            <w:tcW w:w="3417" w:type="dxa"/>
            <w:tcBorders>
              <w:top w:val="nil"/>
              <w:left w:val="nil"/>
              <w:bottom w:val="single" w:color="auto" w:sz="4" w:space="0"/>
              <w:right w:val="single" w:color="auto" w:sz="4" w:space="0"/>
            </w:tcBorders>
            <w:tcMar>
              <w:top w:w="10" w:type="dxa"/>
              <w:left w:w="10" w:type="dxa"/>
              <w:bottom w:w="0" w:type="dxa"/>
              <w:right w:w="10" w:type="dxa"/>
            </w:tcMar>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实际完成率得分=完成市委市政府绩效考核得分或上级主管部门考核指标得分/指标分值*8分</w:t>
            </w:r>
          </w:p>
        </w:tc>
      </w:tr>
      <w:tr>
        <w:tblPrEx>
          <w:tblCellMar>
            <w:top w:w="0" w:type="dxa"/>
            <w:left w:w="28" w:type="dxa"/>
            <w:bottom w:w="0" w:type="dxa"/>
            <w:right w:w="28" w:type="dxa"/>
          </w:tblCellMar>
        </w:tblPrEx>
        <w:trPr>
          <w:trHeight w:val="1092" w:hRule="atLeast"/>
          <w:jc w:val="center"/>
        </w:trPr>
        <w:tc>
          <w:tcPr>
            <w:tcW w:w="482" w:type="dxa"/>
            <w:vMerge w:val="continue"/>
            <w:tcBorders>
              <w:top w:val="nil"/>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1"/>
                <w:szCs w:val="21"/>
              </w:rPr>
            </w:pPr>
          </w:p>
        </w:tc>
        <w:tc>
          <w:tcPr>
            <w:tcW w:w="635" w:type="dxa"/>
            <w:vMerge w:val="continue"/>
            <w:tcBorders>
              <w:top w:val="nil"/>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1"/>
                <w:szCs w:val="21"/>
              </w:rPr>
            </w:pPr>
          </w:p>
        </w:tc>
        <w:tc>
          <w:tcPr>
            <w:tcW w:w="1085" w:type="dxa"/>
            <w:tcBorders>
              <w:top w:val="nil"/>
              <w:left w:val="nil"/>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完成及时率（4分）</w:t>
            </w:r>
          </w:p>
        </w:tc>
        <w:tc>
          <w:tcPr>
            <w:tcW w:w="765" w:type="dxa"/>
            <w:tcBorders>
              <w:top w:val="single" w:color="auto" w:sz="4" w:space="0"/>
              <w:left w:val="nil"/>
              <w:bottom w:val="single" w:color="auto" w:sz="4" w:space="0"/>
              <w:right w:val="single" w:color="auto" w:sz="4" w:space="0"/>
            </w:tcBorders>
            <w:tcMar>
              <w:top w:w="10" w:type="dxa"/>
              <w:left w:w="10" w:type="dxa"/>
              <w:bottom w:w="0" w:type="dxa"/>
              <w:right w:w="10" w:type="dxa"/>
            </w:tcMar>
            <w:vAlign w:val="top"/>
          </w:tcPr>
          <w:p>
            <w:pPr>
              <w:tabs>
                <w:tab w:val="left" w:pos="2604"/>
              </w:tabs>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4</w:t>
            </w:r>
          </w:p>
        </w:tc>
        <w:tc>
          <w:tcPr>
            <w:tcW w:w="2790" w:type="dxa"/>
            <w:tcBorders>
              <w:top w:val="nil"/>
              <w:left w:val="single" w:color="auto" w:sz="4" w:space="0"/>
              <w:bottom w:val="single" w:color="auto" w:sz="4" w:space="0"/>
              <w:right w:val="single" w:color="auto" w:sz="4" w:space="0"/>
            </w:tcBorders>
            <w:tcMar>
              <w:top w:w="10" w:type="dxa"/>
              <w:left w:w="10" w:type="dxa"/>
              <w:bottom w:w="0" w:type="dxa"/>
              <w:right w:w="10" w:type="dxa"/>
            </w:tcMar>
            <w:vAlign w:val="center"/>
          </w:tcPr>
          <w:p>
            <w:pPr>
              <w:tabs>
                <w:tab w:val="left" w:pos="2604"/>
              </w:tabs>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部门在规定时限内及时完成的实际工作数与计划工作数的比率,用以反映和考核部门履职时效目标的实现程度。</w:t>
            </w:r>
          </w:p>
        </w:tc>
        <w:tc>
          <w:tcPr>
            <w:tcW w:w="3417" w:type="dxa"/>
            <w:tcBorders>
              <w:top w:val="nil"/>
              <w:left w:val="nil"/>
              <w:bottom w:val="single" w:color="auto" w:sz="4" w:space="0"/>
              <w:right w:val="single" w:color="auto" w:sz="4" w:space="0"/>
            </w:tcBorders>
            <w:tcMar>
              <w:top w:w="10" w:type="dxa"/>
              <w:left w:w="10" w:type="dxa"/>
              <w:bottom w:w="0" w:type="dxa"/>
              <w:right w:w="10" w:type="dxa"/>
            </w:tcMar>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完成及时率=（及时完成实际工作数/计划工作数）×100%。1-4季度各得1分</w:t>
            </w:r>
            <w:r>
              <w:rPr>
                <w:rFonts w:hint="eastAsia" w:ascii="仿宋_GB2312" w:hAnsi="仿宋_GB2312" w:eastAsia="仿宋_GB2312" w:cs="仿宋_GB2312"/>
                <w:sz w:val="21"/>
                <w:szCs w:val="21"/>
              </w:rPr>
              <w:br w:type="textWrapping"/>
            </w:r>
          </w:p>
        </w:tc>
      </w:tr>
      <w:tr>
        <w:tblPrEx>
          <w:tblCellMar>
            <w:top w:w="0" w:type="dxa"/>
            <w:left w:w="28" w:type="dxa"/>
            <w:bottom w:w="0" w:type="dxa"/>
            <w:right w:w="28" w:type="dxa"/>
          </w:tblCellMar>
        </w:tblPrEx>
        <w:trPr>
          <w:trHeight w:val="362" w:hRule="atLeast"/>
          <w:jc w:val="center"/>
        </w:trPr>
        <w:tc>
          <w:tcPr>
            <w:tcW w:w="482" w:type="dxa"/>
            <w:vMerge w:val="continue"/>
            <w:tcBorders>
              <w:top w:val="nil"/>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1"/>
                <w:szCs w:val="21"/>
              </w:rPr>
            </w:pPr>
          </w:p>
        </w:tc>
        <w:tc>
          <w:tcPr>
            <w:tcW w:w="635" w:type="dxa"/>
            <w:vMerge w:val="continue"/>
            <w:tcBorders>
              <w:top w:val="nil"/>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1"/>
                <w:szCs w:val="21"/>
              </w:rPr>
            </w:pPr>
          </w:p>
        </w:tc>
        <w:tc>
          <w:tcPr>
            <w:tcW w:w="1085" w:type="dxa"/>
            <w:tcBorders>
              <w:top w:val="nil"/>
              <w:left w:val="nil"/>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质量达标率（8分）</w:t>
            </w:r>
          </w:p>
        </w:tc>
        <w:tc>
          <w:tcPr>
            <w:tcW w:w="765" w:type="dxa"/>
            <w:tcBorders>
              <w:top w:val="single" w:color="auto" w:sz="4" w:space="0"/>
              <w:left w:val="nil"/>
              <w:bottom w:val="single" w:color="auto" w:sz="4" w:space="0"/>
              <w:right w:val="single" w:color="auto" w:sz="4" w:space="0"/>
            </w:tcBorders>
            <w:tcMar>
              <w:top w:w="10" w:type="dxa"/>
              <w:left w:w="10" w:type="dxa"/>
              <w:bottom w:w="0" w:type="dxa"/>
              <w:right w:w="10" w:type="dxa"/>
            </w:tcMar>
            <w:vAlign w:val="top"/>
          </w:tcPr>
          <w:p>
            <w:pPr>
              <w:tabs>
                <w:tab w:val="left" w:pos="2604"/>
              </w:tabs>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8</w:t>
            </w:r>
          </w:p>
        </w:tc>
        <w:tc>
          <w:tcPr>
            <w:tcW w:w="2790" w:type="dxa"/>
            <w:tcBorders>
              <w:top w:val="nil"/>
              <w:left w:val="single" w:color="auto" w:sz="4" w:space="0"/>
              <w:bottom w:val="single" w:color="auto" w:sz="4" w:space="0"/>
              <w:right w:val="single" w:color="auto" w:sz="4" w:space="0"/>
            </w:tcBorders>
            <w:tcMar>
              <w:top w:w="10" w:type="dxa"/>
              <w:left w:w="10" w:type="dxa"/>
              <w:bottom w:w="0" w:type="dxa"/>
              <w:right w:w="10" w:type="dxa"/>
            </w:tcMar>
            <w:vAlign w:val="center"/>
          </w:tcPr>
          <w:p>
            <w:pPr>
              <w:tabs>
                <w:tab w:val="left" w:pos="2604"/>
              </w:tabs>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达到质量标准（绩效标准值）的实际工作数与计划工作数的比率,用以反映和考核部门履职质量目标的实现程度。</w:t>
            </w:r>
          </w:p>
        </w:tc>
        <w:tc>
          <w:tcPr>
            <w:tcW w:w="3417" w:type="dxa"/>
            <w:tcBorders>
              <w:top w:val="nil"/>
              <w:left w:val="nil"/>
              <w:bottom w:val="single" w:color="auto" w:sz="4" w:space="0"/>
              <w:right w:val="single" w:color="auto" w:sz="4" w:space="0"/>
            </w:tcBorders>
            <w:tcMar>
              <w:top w:w="10" w:type="dxa"/>
              <w:left w:w="10" w:type="dxa"/>
              <w:bottom w:w="0" w:type="dxa"/>
              <w:right w:w="10" w:type="dxa"/>
            </w:tcMar>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质量达标率=（质量达标实际工作数/计划工作数）×100%。实际得分=达标率*8分</w:t>
            </w:r>
          </w:p>
        </w:tc>
      </w:tr>
      <w:tr>
        <w:tblPrEx>
          <w:tblCellMar>
            <w:top w:w="0" w:type="dxa"/>
            <w:left w:w="28" w:type="dxa"/>
            <w:bottom w:w="0" w:type="dxa"/>
            <w:right w:w="28" w:type="dxa"/>
          </w:tblCellMar>
        </w:tblPrEx>
        <w:trPr>
          <w:trHeight w:val="1107" w:hRule="atLeast"/>
          <w:jc w:val="center"/>
        </w:trPr>
        <w:tc>
          <w:tcPr>
            <w:tcW w:w="482" w:type="dxa"/>
            <w:vMerge w:val="continue"/>
            <w:tcBorders>
              <w:top w:val="nil"/>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1"/>
                <w:szCs w:val="21"/>
              </w:rPr>
            </w:pPr>
          </w:p>
        </w:tc>
        <w:tc>
          <w:tcPr>
            <w:tcW w:w="635" w:type="dxa"/>
            <w:vMerge w:val="continue"/>
            <w:tcBorders>
              <w:top w:val="nil"/>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1"/>
                <w:szCs w:val="21"/>
              </w:rPr>
            </w:pPr>
          </w:p>
        </w:tc>
        <w:tc>
          <w:tcPr>
            <w:tcW w:w="1085" w:type="dxa"/>
            <w:tcBorders>
              <w:top w:val="nil"/>
              <w:left w:val="nil"/>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重点工作办结率（10分）</w:t>
            </w:r>
          </w:p>
        </w:tc>
        <w:tc>
          <w:tcPr>
            <w:tcW w:w="765" w:type="dxa"/>
            <w:tcBorders>
              <w:top w:val="single" w:color="auto" w:sz="4" w:space="0"/>
              <w:left w:val="nil"/>
              <w:bottom w:val="single" w:color="auto" w:sz="4" w:space="0"/>
              <w:right w:val="single" w:color="auto" w:sz="4" w:space="0"/>
            </w:tcBorders>
            <w:tcMar>
              <w:top w:w="10" w:type="dxa"/>
              <w:left w:w="10" w:type="dxa"/>
              <w:bottom w:w="0" w:type="dxa"/>
              <w:right w:w="10" w:type="dxa"/>
            </w:tcMar>
            <w:vAlign w:val="top"/>
          </w:tcPr>
          <w:p>
            <w:pPr>
              <w:tabs>
                <w:tab w:val="left" w:pos="2604"/>
              </w:tabs>
              <w:rPr>
                <w:rFonts w:hint="default"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10</w:t>
            </w:r>
          </w:p>
        </w:tc>
        <w:tc>
          <w:tcPr>
            <w:tcW w:w="2790" w:type="dxa"/>
            <w:tcBorders>
              <w:top w:val="nil"/>
              <w:left w:val="single" w:color="auto" w:sz="4" w:space="0"/>
              <w:bottom w:val="single" w:color="auto" w:sz="4" w:space="0"/>
              <w:right w:val="single" w:color="auto" w:sz="4" w:space="0"/>
            </w:tcBorders>
            <w:tcMar>
              <w:top w:w="10" w:type="dxa"/>
              <w:left w:w="10" w:type="dxa"/>
              <w:bottom w:w="0" w:type="dxa"/>
              <w:right w:w="10" w:type="dxa"/>
            </w:tcMar>
            <w:vAlign w:val="center"/>
          </w:tcPr>
          <w:p>
            <w:pPr>
              <w:tabs>
                <w:tab w:val="left" w:pos="2604"/>
              </w:tabs>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部门年度重点工作实际完成数与交办或下达数的比率，用以反映部门对重点工作的办理落实程度。</w:t>
            </w:r>
          </w:p>
        </w:tc>
        <w:tc>
          <w:tcPr>
            <w:tcW w:w="3417" w:type="dxa"/>
            <w:tcBorders>
              <w:top w:val="nil"/>
              <w:left w:val="nil"/>
              <w:bottom w:val="single" w:color="auto" w:sz="4" w:space="0"/>
              <w:right w:val="single" w:color="auto" w:sz="4" w:space="0"/>
            </w:tcBorders>
            <w:tcMar>
              <w:top w:w="10" w:type="dxa"/>
              <w:left w:w="10" w:type="dxa"/>
              <w:bottom w:w="0" w:type="dxa"/>
              <w:right w:w="10" w:type="dxa"/>
            </w:tcMar>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重点工作办结率=（重点工作实际完成数/交办或下达数）×100%。实际得分=办结率*10分</w:t>
            </w:r>
          </w:p>
        </w:tc>
      </w:tr>
      <w:tr>
        <w:tblPrEx>
          <w:tblCellMar>
            <w:top w:w="0" w:type="dxa"/>
            <w:left w:w="28" w:type="dxa"/>
            <w:bottom w:w="0" w:type="dxa"/>
            <w:right w:w="28" w:type="dxa"/>
          </w:tblCellMar>
        </w:tblPrEx>
        <w:trPr>
          <w:trHeight w:val="552" w:hRule="atLeast"/>
          <w:jc w:val="center"/>
        </w:trPr>
        <w:tc>
          <w:tcPr>
            <w:tcW w:w="482" w:type="dxa"/>
            <w:vMerge w:val="restart"/>
            <w:tcBorders>
              <w:top w:val="nil"/>
              <w:left w:val="single" w:color="auto" w:sz="4" w:space="0"/>
              <w:bottom w:val="single" w:color="auto" w:sz="4" w:space="0"/>
              <w:right w:val="single" w:color="auto" w:sz="4" w:space="0"/>
            </w:tcBorders>
            <w:tcMar>
              <w:top w:w="10" w:type="dxa"/>
              <w:left w:w="10" w:type="dxa"/>
              <w:bottom w:w="0" w:type="dxa"/>
              <w:right w:w="10" w:type="dxa"/>
            </w:tcMar>
            <w:textDirection w:val="tbRlV"/>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效   果（20分）</w:t>
            </w:r>
          </w:p>
        </w:tc>
        <w:tc>
          <w:tcPr>
            <w:tcW w:w="635" w:type="dxa"/>
            <w:vMerge w:val="restart"/>
            <w:tcBorders>
              <w:top w:val="nil"/>
              <w:left w:val="single" w:color="auto" w:sz="4" w:space="0"/>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履职</w:t>
            </w:r>
            <w:r>
              <w:rPr>
                <w:rFonts w:hint="eastAsia" w:ascii="仿宋_GB2312" w:hAnsi="仿宋_GB2312" w:eastAsia="仿宋_GB2312" w:cs="仿宋_GB2312"/>
                <w:sz w:val="21"/>
                <w:szCs w:val="21"/>
              </w:rPr>
              <w:br w:type="textWrapping"/>
            </w:r>
            <w:r>
              <w:rPr>
                <w:rFonts w:hint="eastAsia" w:ascii="仿宋_GB2312" w:hAnsi="仿宋_GB2312" w:eastAsia="仿宋_GB2312" w:cs="仿宋_GB2312"/>
                <w:sz w:val="21"/>
                <w:szCs w:val="21"/>
              </w:rPr>
              <w:t>效益（20分）</w:t>
            </w:r>
          </w:p>
        </w:tc>
        <w:tc>
          <w:tcPr>
            <w:tcW w:w="1085" w:type="dxa"/>
            <w:tcBorders>
              <w:top w:val="nil"/>
              <w:left w:val="nil"/>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经济效益（5分）</w:t>
            </w:r>
          </w:p>
        </w:tc>
        <w:tc>
          <w:tcPr>
            <w:tcW w:w="765" w:type="dxa"/>
            <w:tcBorders>
              <w:top w:val="single" w:color="auto" w:sz="4" w:space="0"/>
              <w:left w:val="nil"/>
              <w:bottom w:val="single" w:color="auto" w:sz="4" w:space="0"/>
              <w:right w:val="single" w:color="auto" w:sz="4" w:space="0"/>
            </w:tcBorders>
            <w:tcMar>
              <w:top w:w="10" w:type="dxa"/>
              <w:left w:w="10" w:type="dxa"/>
              <w:bottom w:w="0" w:type="dxa"/>
              <w:right w:w="10" w:type="dxa"/>
            </w:tcMar>
            <w:vAlign w:val="top"/>
          </w:tcPr>
          <w:p>
            <w:pPr>
              <w:tabs>
                <w:tab w:val="left" w:pos="2604"/>
              </w:tabs>
              <w:rPr>
                <w:rFonts w:hint="default"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5</w:t>
            </w:r>
          </w:p>
        </w:tc>
        <w:tc>
          <w:tcPr>
            <w:tcW w:w="2790" w:type="dxa"/>
            <w:tcBorders>
              <w:top w:val="nil"/>
              <w:left w:val="single" w:color="auto" w:sz="4" w:space="0"/>
              <w:bottom w:val="single" w:color="auto" w:sz="4" w:space="0"/>
              <w:right w:val="single" w:color="auto" w:sz="4" w:space="0"/>
            </w:tcBorders>
            <w:tcMar>
              <w:top w:w="10" w:type="dxa"/>
              <w:left w:w="10" w:type="dxa"/>
              <w:bottom w:w="0" w:type="dxa"/>
              <w:right w:w="10" w:type="dxa"/>
            </w:tcMar>
            <w:vAlign w:val="center"/>
          </w:tcPr>
          <w:p>
            <w:pPr>
              <w:tabs>
                <w:tab w:val="left" w:pos="2604"/>
              </w:tabs>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部门履行职责对经济发展所带来的直接或间接影响。</w:t>
            </w:r>
          </w:p>
        </w:tc>
        <w:tc>
          <w:tcPr>
            <w:tcW w:w="3417" w:type="dxa"/>
            <w:vMerge w:val="restart"/>
            <w:tcBorders>
              <w:top w:val="nil"/>
              <w:left w:val="single" w:color="auto" w:sz="4" w:space="0"/>
              <w:bottom w:val="single" w:color="auto" w:sz="4" w:space="0"/>
              <w:right w:val="single" w:color="auto" w:sz="4" w:space="0"/>
            </w:tcBorders>
            <w:tcMar>
              <w:top w:w="10" w:type="dxa"/>
              <w:left w:w="10" w:type="dxa"/>
              <w:bottom w:w="0" w:type="dxa"/>
              <w:right w:w="10" w:type="dxa"/>
            </w:tcMar>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kern w:val="0"/>
                <w:sz w:val="21"/>
                <w:szCs w:val="21"/>
              </w:rPr>
              <w:t>按经济效益实现程度计算得分（5分）；按社会效益实现程度计算得分（5分）；按生态效益实现程度计算得分（5分）</w:t>
            </w:r>
          </w:p>
        </w:tc>
      </w:tr>
      <w:tr>
        <w:tblPrEx>
          <w:tblCellMar>
            <w:top w:w="0" w:type="dxa"/>
            <w:left w:w="28" w:type="dxa"/>
            <w:bottom w:w="0" w:type="dxa"/>
            <w:right w:w="28" w:type="dxa"/>
          </w:tblCellMar>
        </w:tblPrEx>
        <w:trPr>
          <w:trHeight w:val="542" w:hRule="atLeast"/>
          <w:jc w:val="center"/>
        </w:trPr>
        <w:tc>
          <w:tcPr>
            <w:tcW w:w="482" w:type="dxa"/>
            <w:vMerge w:val="continue"/>
            <w:tcBorders>
              <w:top w:val="nil"/>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1"/>
                <w:szCs w:val="21"/>
              </w:rPr>
            </w:pPr>
          </w:p>
        </w:tc>
        <w:tc>
          <w:tcPr>
            <w:tcW w:w="635" w:type="dxa"/>
            <w:vMerge w:val="continue"/>
            <w:tcBorders>
              <w:top w:val="nil"/>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1"/>
                <w:szCs w:val="21"/>
              </w:rPr>
            </w:pPr>
          </w:p>
        </w:tc>
        <w:tc>
          <w:tcPr>
            <w:tcW w:w="1085" w:type="dxa"/>
            <w:tcBorders>
              <w:top w:val="nil"/>
              <w:left w:val="nil"/>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社会效益（5分）</w:t>
            </w:r>
          </w:p>
        </w:tc>
        <w:tc>
          <w:tcPr>
            <w:tcW w:w="765" w:type="dxa"/>
            <w:tcBorders>
              <w:top w:val="single" w:color="auto" w:sz="4" w:space="0"/>
              <w:left w:val="nil"/>
              <w:bottom w:val="single" w:color="auto" w:sz="4" w:space="0"/>
              <w:right w:val="single" w:color="auto" w:sz="4" w:space="0"/>
            </w:tcBorders>
            <w:vAlign w:val="top"/>
          </w:tcPr>
          <w:p>
            <w:pPr>
              <w:tabs>
                <w:tab w:val="left" w:pos="2604"/>
              </w:tabs>
              <w:rPr>
                <w:rFonts w:hint="default"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5</w:t>
            </w:r>
          </w:p>
        </w:tc>
        <w:tc>
          <w:tcPr>
            <w:tcW w:w="2790" w:type="dxa"/>
            <w:tcBorders>
              <w:top w:val="nil"/>
              <w:left w:val="single" w:color="auto" w:sz="4" w:space="0"/>
              <w:bottom w:val="single" w:color="auto" w:sz="4" w:space="0"/>
              <w:right w:val="single" w:color="auto" w:sz="4" w:space="0"/>
            </w:tcBorders>
            <w:tcMar>
              <w:top w:w="10" w:type="dxa"/>
              <w:left w:w="10" w:type="dxa"/>
              <w:bottom w:w="0" w:type="dxa"/>
              <w:right w:w="10" w:type="dxa"/>
            </w:tcMar>
            <w:vAlign w:val="center"/>
          </w:tcPr>
          <w:p>
            <w:pPr>
              <w:tabs>
                <w:tab w:val="left" w:pos="2604"/>
              </w:tabs>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部门履行职责对社会发展所带来的直接或间接影响。</w:t>
            </w:r>
          </w:p>
        </w:tc>
        <w:tc>
          <w:tcPr>
            <w:tcW w:w="3417" w:type="dxa"/>
            <w:vMerge w:val="continue"/>
            <w:tcBorders>
              <w:top w:val="nil"/>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1"/>
                <w:szCs w:val="21"/>
              </w:rPr>
            </w:pPr>
          </w:p>
        </w:tc>
      </w:tr>
      <w:tr>
        <w:tblPrEx>
          <w:tblCellMar>
            <w:top w:w="0" w:type="dxa"/>
            <w:left w:w="28" w:type="dxa"/>
            <w:bottom w:w="0" w:type="dxa"/>
            <w:right w:w="28" w:type="dxa"/>
          </w:tblCellMar>
        </w:tblPrEx>
        <w:trPr>
          <w:trHeight w:val="557" w:hRule="atLeast"/>
          <w:jc w:val="center"/>
        </w:trPr>
        <w:tc>
          <w:tcPr>
            <w:tcW w:w="482" w:type="dxa"/>
            <w:vMerge w:val="continue"/>
            <w:tcBorders>
              <w:top w:val="nil"/>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1"/>
                <w:szCs w:val="21"/>
              </w:rPr>
            </w:pPr>
          </w:p>
        </w:tc>
        <w:tc>
          <w:tcPr>
            <w:tcW w:w="635" w:type="dxa"/>
            <w:vMerge w:val="continue"/>
            <w:tcBorders>
              <w:top w:val="nil"/>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1"/>
                <w:szCs w:val="21"/>
              </w:rPr>
            </w:pPr>
          </w:p>
        </w:tc>
        <w:tc>
          <w:tcPr>
            <w:tcW w:w="1085" w:type="dxa"/>
            <w:tcBorders>
              <w:top w:val="nil"/>
              <w:left w:val="nil"/>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生态效益（5分）</w:t>
            </w:r>
          </w:p>
        </w:tc>
        <w:tc>
          <w:tcPr>
            <w:tcW w:w="765" w:type="dxa"/>
            <w:tcBorders>
              <w:top w:val="single" w:color="auto" w:sz="4" w:space="0"/>
              <w:left w:val="nil"/>
              <w:bottom w:val="single" w:color="auto" w:sz="4" w:space="0"/>
              <w:right w:val="single" w:color="auto" w:sz="4" w:space="0"/>
            </w:tcBorders>
            <w:vAlign w:val="top"/>
          </w:tcPr>
          <w:p>
            <w:pPr>
              <w:tabs>
                <w:tab w:val="left" w:pos="2604"/>
              </w:tabs>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5</w:t>
            </w:r>
          </w:p>
        </w:tc>
        <w:tc>
          <w:tcPr>
            <w:tcW w:w="2790" w:type="dxa"/>
            <w:tcBorders>
              <w:top w:val="nil"/>
              <w:left w:val="single" w:color="auto" w:sz="4" w:space="0"/>
              <w:bottom w:val="single" w:color="auto" w:sz="4" w:space="0"/>
              <w:right w:val="single" w:color="auto" w:sz="4" w:space="0"/>
            </w:tcBorders>
            <w:tcMar>
              <w:top w:w="10" w:type="dxa"/>
              <w:left w:w="10" w:type="dxa"/>
              <w:bottom w:w="0" w:type="dxa"/>
              <w:right w:w="10" w:type="dxa"/>
            </w:tcMar>
            <w:vAlign w:val="center"/>
          </w:tcPr>
          <w:p>
            <w:pPr>
              <w:tabs>
                <w:tab w:val="left" w:pos="2604"/>
              </w:tabs>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部门履行职责对生态环境所带来的直接或间接影响。</w:t>
            </w:r>
          </w:p>
        </w:tc>
        <w:tc>
          <w:tcPr>
            <w:tcW w:w="3417" w:type="dxa"/>
            <w:vMerge w:val="continue"/>
            <w:tcBorders>
              <w:top w:val="nil"/>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1"/>
                <w:szCs w:val="21"/>
              </w:rPr>
            </w:pPr>
          </w:p>
        </w:tc>
      </w:tr>
      <w:tr>
        <w:tblPrEx>
          <w:tblCellMar>
            <w:top w:w="0" w:type="dxa"/>
            <w:left w:w="28" w:type="dxa"/>
            <w:bottom w:w="0" w:type="dxa"/>
            <w:right w:w="28" w:type="dxa"/>
          </w:tblCellMar>
        </w:tblPrEx>
        <w:trPr>
          <w:trHeight w:val="901" w:hRule="atLeast"/>
          <w:jc w:val="center"/>
        </w:trPr>
        <w:tc>
          <w:tcPr>
            <w:tcW w:w="482" w:type="dxa"/>
            <w:vMerge w:val="continue"/>
            <w:tcBorders>
              <w:top w:val="nil"/>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1"/>
                <w:szCs w:val="21"/>
              </w:rPr>
            </w:pPr>
          </w:p>
        </w:tc>
        <w:tc>
          <w:tcPr>
            <w:tcW w:w="635" w:type="dxa"/>
            <w:vMerge w:val="continue"/>
            <w:tcBorders>
              <w:top w:val="nil"/>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1"/>
                <w:szCs w:val="21"/>
              </w:rPr>
            </w:pPr>
          </w:p>
        </w:tc>
        <w:tc>
          <w:tcPr>
            <w:tcW w:w="1085" w:type="dxa"/>
            <w:tcBorders>
              <w:top w:val="nil"/>
              <w:left w:val="nil"/>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社会公众或服务对象满意度（5分）</w:t>
            </w:r>
          </w:p>
        </w:tc>
        <w:tc>
          <w:tcPr>
            <w:tcW w:w="765" w:type="dxa"/>
            <w:tcBorders>
              <w:top w:val="single" w:color="auto" w:sz="4" w:space="0"/>
              <w:left w:val="nil"/>
              <w:bottom w:val="single" w:color="auto" w:sz="4" w:space="0"/>
              <w:right w:val="single" w:color="auto" w:sz="4" w:space="0"/>
            </w:tcBorders>
            <w:tcMar>
              <w:top w:w="10" w:type="dxa"/>
              <w:left w:w="10" w:type="dxa"/>
              <w:bottom w:w="0" w:type="dxa"/>
              <w:right w:w="10" w:type="dxa"/>
            </w:tcMar>
            <w:vAlign w:val="top"/>
          </w:tcPr>
          <w:p>
            <w:pPr>
              <w:tabs>
                <w:tab w:val="left" w:pos="2604"/>
              </w:tabs>
              <w:rPr>
                <w:rFonts w:hint="default"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5</w:t>
            </w:r>
          </w:p>
        </w:tc>
        <w:tc>
          <w:tcPr>
            <w:tcW w:w="2790" w:type="dxa"/>
            <w:tcBorders>
              <w:top w:val="nil"/>
              <w:left w:val="single" w:color="auto" w:sz="4" w:space="0"/>
              <w:bottom w:val="single" w:color="auto" w:sz="4" w:space="0"/>
              <w:right w:val="single" w:color="auto" w:sz="4" w:space="0"/>
            </w:tcBorders>
            <w:tcMar>
              <w:top w:w="10" w:type="dxa"/>
              <w:left w:w="10" w:type="dxa"/>
              <w:bottom w:w="0" w:type="dxa"/>
              <w:right w:w="10" w:type="dxa"/>
            </w:tcMar>
            <w:vAlign w:val="center"/>
          </w:tcPr>
          <w:p>
            <w:pPr>
              <w:tabs>
                <w:tab w:val="left" w:pos="2604"/>
              </w:tabs>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社会公众或部门的服务对象对部门履职效果的满意程度。</w:t>
            </w:r>
          </w:p>
        </w:tc>
        <w:tc>
          <w:tcPr>
            <w:tcW w:w="3417" w:type="dxa"/>
            <w:tcBorders>
              <w:top w:val="nil"/>
              <w:left w:val="nil"/>
              <w:bottom w:val="single" w:color="auto" w:sz="4" w:space="0"/>
              <w:right w:val="single" w:color="auto" w:sz="4" w:space="0"/>
            </w:tcBorders>
            <w:tcMar>
              <w:top w:w="10" w:type="dxa"/>
              <w:left w:w="10" w:type="dxa"/>
              <w:bottom w:w="0" w:type="dxa"/>
              <w:right w:w="10" w:type="dxa"/>
            </w:tcMar>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kern w:val="0"/>
                <w:sz w:val="21"/>
                <w:szCs w:val="21"/>
              </w:rPr>
              <w:t>按收集到的服务对象的满意率计算得分（5分）</w:t>
            </w:r>
          </w:p>
        </w:tc>
      </w:tr>
      <w:tr>
        <w:tblPrEx>
          <w:tblCellMar>
            <w:top w:w="0" w:type="dxa"/>
            <w:left w:w="28" w:type="dxa"/>
            <w:bottom w:w="0" w:type="dxa"/>
            <w:right w:w="28" w:type="dxa"/>
          </w:tblCellMar>
        </w:tblPrEx>
        <w:trPr>
          <w:trHeight w:val="1247" w:hRule="atLeast"/>
          <w:jc w:val="center"/>
        </w:trPr>
        <w:tc>
          <w:tcPr>
            <w:tcW w:w="2202" w:type="dxa"/>
            <w:gridSpan w:val="3"/>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1"/>
                <w:szCs w:val="21"/>
                <w:lang w:eastAsia="zh-CN"/>
              </w:rPr>
            </w:pPr>
            <w:r>
              <w:rPr>
                <w:rFonts w:hint="eastAsia" w:ascii="仿宋_GB2312" w:hAnsi="仿宋_GB2312" w:cs="仿宋_GB2312"/>
                <w:sz w:val="21"/>
                <w:szCs w:val="21"/>
                <w:lang w:eastAsia="zh-CN"/>
              </w:rPr>
              <w:t>合计</w:t>
            </w:r>
          </w:p>
        </w:tc>
        <w:tc>
          <w:tcPr>
            <w:tcW w:w="765" w:type="dxa"/>
            <w:tcBorders>
              <w:top w:val="single" w:color="auto" w:sz="4" w:space="0"/>
              <w:left w:val="single" w:color="auto" w:sz="4" w:space="0"/>
              <w:bottom w:val="single" w:color="auto" w:sz="4" w:space="0"/>
              <w:right w:val="single" w:color="auto" w:sz="4" w:space="0"/>
            </w:tcBorders>
            <w:tcMar>
              <w:top w:w="10" w:type="dxa"/>
              <w:left w:w="10" w:type="dxa"/>
              <w:bottom w:w="0" w:type="dxa"/>
              <w:right w:w="10" w:type="dxa"/>
            </w:tcMar>
            <w:vAlign w:val="top"/>
          </w:tcPr>
          <w:p>
            <w:pPr>
              <w:tabs>
                <w:tab w:val="left" w:pos="2604"/>
              </w:tabs>
              <w:rPr>
                <w:rFonts w:hint="default"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100</w:t>
            </w:r>
            <w:bookmarkStart w:id="0" w:name="_GoBack"/>
            <w:bookmarkEnd w:id="0"/>
          </w:p>
        </w:tc>
        <w:tc>
          <w:tcPr>
            <w:tcW w:w="2790" w:type="dxa"/>
            <w:tcBorders>
              <w:top w:val="single" w:color="auto" w:sz="4" w:space="0"/>
              <w:left w:val="single" w:color="auto" w:sz="4" w:space="0"/>
              <w:bottom w:val="single" w:color="auto" w:sz="4" w:space="0"/>
              <w:right w:val="single" w:color="auto" w:sz="4" w:space="0"/>
            </w:tcBorders>
            <w:tcMar>
              <w:top w:w="10" w:type="dxa"/>
              <w:left w:w="10" w:type="dxa"/>
              <w:bottom w:w="0" w:type="dxa"/>
              <w:right w:w="10" w:type="dxa"/>
            </w:tcMar>
            <w:vAlign w:val="center"/>
          </w:tcPr>
          <w:p>
            <w:pPr>
              <w:tabs>
                <w:tab w:val="left" w:pos="2604"/>
              </w:tabs>
              <w:rPr>
                <w:rFonts w:hint="eastAsia" w:ascii="仿宋_GB2312" w:hAnsi="仿宋_GB2312" w:eastAsia="仿宋_GB2312" w:cs="仿宋_GB2312"/>
                <w:sz w:val="21"/>
                <w:szCs w:val="21"/>
              </w:rPr>
            </w:pPr>
          </w:p>
        </w:tc>
        <w:tc>
          <w:tcPr>
            <w:tcW w:w="3417" w:type="dxa"/>
            <w:tcBorders>
              <w:top w:val="single" w:color="auto" w:sz="4" w:space="0"/>
              <w:left w:val="single" w:color="auto" w:sz="4" w:space="0"/>
              <w:bottom w:val="single" w:color="auto" w:sz="4" w:space="0"/>
              <w:right w:val="single" w:color="auto" w:sz="4" w:space="0"/>
            </w:tcBorders>
            <w:tcMar>
              <w:top w:w="10" w:type="dxa"/>
              <w:left w:w="10" w:type="dxa"/>
              <w:bottom w:w="0" w:type="dxa"/>
              <w:right w:w="10" w:type="dxa"/>
            </w:tcMar>
            <w:vAlign w:val="center"/>
          </w:tcPr>
          <w:p>
            <w:pPr>
              <w:rPr>
                <w:rFonts w:hint="eastAsia" w:ascii="仿宋_GB2312" w:hAnsi="仿宋_GB2312" w:eastAsia="仿宋_GB2312" w:cs="仿宋_GB2312"/>
                <w:kern w:val="0"/>
                <w:sz w:val="21"/>
                <w:szCs w:val="21"/>
              </w:rPr>
            </w:pPr>
          </w:p>
        </w:tc>
      </w:tr>
    </w:tbl>
    <w:p>
      <w:pPr>
        <w:rPr>
          <w:rFonts w:hint="eastAsia" w:ascii="仿宋_GB2312" w:hAnsi="仿宋_GB2312" w:eastAsia="仿宋_GB2312" w:cs="仿宋_GB2312"/>
          <w:sz w:val="24"/>
          <w:szCs w:val="24"/>
        </w:rPr>
      </w:pPr>
    </w:p>
    <w:sectPr>
      <w:footerReference r:id="rId3" w:type="default"/>
      <w:pgSz w:w="11906" w:h="16838"/>
      <w:pgMar w:top="1723" w:right="1800" w:bottom="1723" w:left="1800" w:header="851" w:footer="992"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320"/>
  <w:drawingGridVerticalSpacing w:val="156"/>
  <w:displayHorizontalDrawingGridEvery w:val="1"/>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00F03D1"/>
    <w:rsid w:val="132E4195"/>
    <w:rsid w:val="316A0D9D"/>
    <w:rsid w:val="45FD6295"/>
    <w:rsid w:val="4A1F22B8"/>
    <w:rsid w:val="513314D5"/>
    <w:rsid w:val="69FA35BC"/>
    <w:rsid w:val="6D321A9B"/>
    <w:rsid w:val="744121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_GB2312" w:asciiTheme="minorHAnsi" w:hAnsiTheme="minorHAnsi" w:cstheme="minorBidi"/>
      <w:kern w:val="2"/>
      <w:sz w:val="32"/>
      <w:szCs w:val="22"/>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117</TotalTime>
  <ScaleCrop>false</ScaleCrop>
  <LinksUpToDate>false</LinksUpToDate>
  <CharactersWithSpaces>0</CharactersWithSpaces>
  <Application>WPS Office_11.8.6.8810_F1E327BC-269C-435d-A152-05C5408002CA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jyjcg</dc:creator>
  <cp:lastModifiedBy>Administrator</cp:lastModifiedBy>
  <dcterms:modified xsi:type="dcterms:W3CDTF">2021-03-25T09:41:56Z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2052-11.8.6.8810</vt:lpwstr>
  </property>
</Properties>
</file>