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hint="eastAsia" w:ascii="宋体" w:hAnsi="宋体" w:eastAsia="宋体" w:cs="宋体"/>
          <w:b/>
          <w:bCs/>
          <w:sz w:val="44"/>
          <w:szCs w:val="44"/>
        </w:rPr>
      </w:pPr>
      <w:r>
        <w:rPr>
          <w:rFonts w:hint="eastAsia" w:ascii="宋体" w:hAnsi="宋体" w:eastAsia="宋体" w:cs="宋体"/>
          <w:b/>
          <w:bCs/>
          <w:sz w:val="44"/>
          <w:szCs w:val="44"/>
          <w:lang w:val="en-US" w:eastAsia="zh-CN"/>
        </w:rPr>
        <w:t>昆明市呈贡区城市管理局</w:t>
      </w:r>
      <w:r>
        <w:rPr>
          <w:rFonts w:hint="eastAsia" w:ascii="宋体" w:hAnsi="宋体" w:eastAsia="宋体" w:cs="宋体"/>
          <w:b/>
          <w:bCs/>
          <w:sz w:val="44"/>
          <w:szCs w:val="44"/>
        </w:rPr>
        <w:t>整体支出绩效</w:t>
      </w:r>
      <w:r>
        <w:rPr>
          <w:rFonts w:hint="eastAsia" w:ascii="宋体" w:hAnsi="宋体" w:eastAsia="宋体" w:cs="宋体"/>
          <w:b/>
          <w:bCs/>
          <w:sz w:val="44"/>
          <w:szCs w:val="44"/>
          <w:lang w:val="en-US" w:eastAsia="zh-CN"/>
        </w:rPr>
        <w:t>自评</w:t>
      </w:r>
      <w:r>
        <w:rPr>
          <w:rFonts w:hint="eastAsia" w:ascii="宋体" w:hAnsi="宋体" w:eastAsia="宋体" w:cs="宋体"/>
          <w:b/>
          <w:bCs/>
          <w:sz w:val="44"/>
          <w:szCs w:val="44"/>
        </w:rPr>
        <w:t>报告</w:t>
      </w:r>
    </w:p>
    <w:p>
      <w:pPr>
        <w:spacing w:line="600" w:lineRule="exact"/>
        <w:ind w:firstLine="669" w:firstLineChars="225"/>
        <w:rPr>
          <w:rFonts w:hint="default" w:ascii="仿宋" w:hAnsi="仿宋" w:eastAsia="仿宋" w:cs="仿宋"/>
          <w:b/>
          <w:szCs w:val="32"/>
          <w:lang w:val="en-US" w:eastAsia="zh-CN"/>
        </w:rPr>
      </w:pPr>
      <w:r>
        <w:rPr>
          <w:rFonts w:hint="eastAsia" w:ascii="仿宋" w:hAnsi="仿宋" w:eastAsia="仿宋" w:cs="仿宋"/>
          <w:b/>
          <w:szCs w:val="32"/>
          <w:lang w:val="en-US" w:eastAsia="zh-CN"/>
        </w:rPr>
        <w:t xml:space="preserve">                                                                                                                                                                                                                               </w:t>
      </w:r>
    </w:p>
    <w:p>
      <w:pPr>
        <w:keepNext w:val="0"/>
        <w:keepLines w:val="0"/>
        <w:pageBreakBefore w:val="0"/>
        <w:widowControl w:val="0"/>
        <w:kinsoku/>
        <w:wordWrap/>
        <w:overflowPunct/>
        <w:topLinePunct/>
        <w:autoSpaceDE/>
        <w:autoSpaceDN/>
        <w:bidi w:val="0"/>
        <w:adjustRightInd/>
        <w:spacing w:line="580" w:lineRule="exact"/>
        <w:ind w:firstLine="594" w:firstLineChars="200"/>
        <w:textAlignment w:val="auto"/>
        <w:outlineLvl w:val="0"/>
        <w:rPr>
          <w:rFonts w:hint="eastAsia" w:ascii="黑体" w:hAnsi="黑体" w:eastAsia="黑体" w:cs="黑体"/>
          <w:szCs w:val="32"/>
        </w:rPr>
      </w:pPr>
      <w:r>
        <w:rPr>
          <w:rFonts w:hint="eastAsia" w:ascii="黑体" w:hAnsi="黑体" w:eastAsia="黑体" w:cs="黑体"/>
          <w:szCs w:val="32"/>
        </w:rPr>
        <w:t>一、基本情况</w:t>
      </w:r>
    </w:p>
    <w:p>
      <w:pPr>
        <w:keepNext w:val="0"/>
        <w:keepLines w:val="0"/>
        <w:pageBreakBefore w:val="0"/>
        <w:widowControl w:val="0"/>
        <w:kinsoku/>
        <w:wordWrap/>
        <w:overflowPunct/>
        <w:topLinePunct/>
        <w:autoSpaceDE/>
        <w:autoSpaceDN/>
        <w:bidi w:val="0"/>
        <w:adjustRightInd/>
        <w:spacing w:line="580" w:lineRule="exact"/>
        <w:ind w:firstLine="594" w:firstLineChars="200"/>
        <w:textAlignment w:val="auto"/>
        <w:rPr>
          <w:rFonts w:hint="eastAsia" w:ascii="楷体" w:hAnsi="楷体" w:eastAsia="楷体" w:cs="楷体"/>
          <w:b/>
          <w:bCs/>
          <w:szCs w:val="32"/>
        </w:rPr>
      </w:pPr>
      <w:r>
        <w:rPr>
          <w:rFonts w:hint="eastAsia" w:ascii="楷体" w:hAnsi="楷体" w:eastAsia="楷体" w:cs="楷体"/>
          <w:b/>
          <w:bCs/>
          <w:szCs w:val="32"/>
        </w:rPr>
        <w:t>（一）部门整体支出概况</w:t>
      </w:r>
    </w:p>
    <w:p>
      <w:pPr>
        <w:keepNext w:val="0"/>
        <w:keepLines w:val="0"/>
        <w:pageBreakBefore w:val="0"/>
        <w:widowControl w:val="0"/>
        <w:kinsoku/>
        <w:wordWrap/>
        <w:overflowPunct/>
        <w:autoSpaceDE/>
        <w:autoSpaceDN/>
        <w:bidi w:val="0"/>
        <w:adjustRightInd/>
        <w:snapToGrid w:val="0"/>
        <w:spacing w:line="580" w:lineRule="exact"/>
        <w:ind w:firstLine="594" w:firstLineChars="200"/>
        <w:textAlignment w:val="auto"/>
        <w:rPr>
          <w:rFonts w:hint="eastAsia" w:ascii="仿宋" w:hAnsi="仿宋" w:eastAsia="仿宋" w:cs="仿宋"/>
          <w:sz w:val="32"/>
          <w:szCs w:val="32"/>
        </w:rPr>
      </w:pPr>
      <w:r>
        <w:rPr>
          <w:rFonts w:hint="eastAsia" w:ascii="楷体" w:hAnsi="楷体" w:eastAsia="楷体" w:cs="楷体"/>
          <w:b/>
          <w:bCs/>
          <w:szCs w:val="32"/>
        </w:rPr>
        <w:t>部门整体</w:t>
      </w:r>
      <w:r>
        <w:rPr>
          <w:rFonts w:hint="eastAsia" w:ascii="楷体" w:hAnsi="楷体" w:eastAsia="楷体" w:cs="楷体"/>
          <w:b/>
          <w:bCs/>
          <w:szCs w:val="32"/>
          <w:lang w:val="en-US" w:eastAsia="zh-CN"/>
        </w:rPr>
        <w:t>收入情况：</w:t>
      </w:r>
      <w:r>
        <w:rPr>
          <w:rFonts w:hint="eastAsia" w:ascii="仿宋_GB2312" w:hAnsi="仿宋"/>
          <w:sz w:val="32"/>
          <w:szCs w:val="32"/>
          <w:lang w:val="en-US" w:eastAsia="zh-CN"/>
        </w:rPr>
        <w:t>2021</w:t>
      </w:r>
      <w:r>
        <w:rPr>
          <w:rFonts w:hint="eastAsia" w:ascii="仿宋_GB2312" w:hAnsi="仿宋" w:eastAsia="仿宋_GB2312"/>
          <w:sz w:val="32"/>
          <w:szCs w:val="32"/>
          <w:lang w:val="en-US" w:eastAsia="zh-CN"/>
        </w:rPr>
        <w:t>年度一般公共预算财政拨款收入</w:t>
      </w:r>
      <w:r>
        <w:rPr>
          <w:rFonts w:hint="eastAsia" w:ascii="仿宋_GB2312" w:hAnsi="仿宋"/>
          <w:sz w:val="32"/>
          <w:szCs w:val="32"/>
          <w:lang w:val="en-US" w:eastAsia="zh-CN"/>
        </w:rPr>
        <w:t>85672204.15</w:t>
      </w:r>
      <w:r>
        <w:rPr>
          <w:rFonts w:hint="eastAsia" w:ascii="仿宋_GB2312" w:hAnsi="仿宋" w:eastAsia="仿宋_GB2312"/>
          <w:sz w:val="32"/>
          <w:szCs w:val="32"/>
          <w:lang w:val="en-US" w:eastAsia="zh-CN"/>
        </w:rPr>
        <w:t>元,占本年收入合计的</w:t>
      </w:r>
      <w:r>
        <w:rPr>
          <w:rFonts w:hint="eastAsia" w:ascii="仿宋_GB2312" w:hAnsi="仿宋"/>
          <w:sz w:val="32"/>
          <w:szCs w:val="32"/>
          <w:lang w:val="en-US" w:eastAsia="zh-CN"/>
        </w:rPr>
        <w:t>100</w:t>
      </w:r>
      <w:r>
        <w:rPr>
          <w:rFonts w:hint="eastAsia" w:ascii="仿宋_GB2312" w:hAnsi="仿宋" w:eastAsia="仿宋_GB2312"/>
          <w:sz w:val="32"/>
          <w:szCs w:val="32"/>
          <w:lang w:val="en-US" w:eastAsia="zh-CN"/>
        </w:rPr>
        <w:t>%。</w:t>
      </w:r>
    </w:p>
    <w:p>
      <w:pPr>
        <w:snapToGrid w:val="0"/>
        <w:spacing w:line="520" w:lineRule="exact"/>
        <w:ind w:firstLine="594" w:firstLineChars="200"/>
        <w:rPr>
          <w:rFonts w:hint="eastAsia" w:ascii="仿宋_GB2312" w:hAnsi="仿宋" w:eastAsia="仿宋_GB2312"/>
          <w:sz w:val="32"/>
          <w:szCs w:val="32"/>
          <w:lang w:val="en-US" w:eastAsia="zh-CN"/>
        </w:rPr>
      </w:pPr>
      <w:r>
        <w:rPr>
          <w:rFonts w:hint="eastAsia" w:ascii="楷体" w:hAnsi="楷体" w:eastAsia="楷体" w:cs="楷体"/>
          <w:b/>
          <w:bCs/>
          <w:szCs w:val="32"/>
        </w:rPr>
        <w:t>部门整体</w:t>
      </w:r>
      <w:r>
        <w:rPr>
          <w:rFonts w:hint="eastAsia" w:ascii="楷体" w:hAnsi="楷体" w:eastAsia="楷体" w:cs="楷体"/>
          <w:b/>
          <w:bCs/>
          <w:szCs w:val="32"/>
          <w:lang w:val="en-US" w:eastAsia="zh-CN"/>
        </w:rPr>
        <w:t>支出情况：</w:t>
      </w:r>
      <w:r>
        <w:rPr>
          <w:rFonts w:hint="eastAsia" w:ascii="仿宋_GB2312" w:hAnsi="仿宋"/>
          <w:sz w:val="32"/>
          <w:szCs w:val="32"/>
          <w:lang w:eastAsia="zh-CN"/>
        </w:rPr>
        <w:t>2021</w:t>
      </w:r>
      <w:r>
        <w:rPr>
          <w:rFonts w:hint="eastAsia" w:ascii="仿宋_GB2312" w:hAnsi="仿宋" w:eastAsia="仿宋_GB2312"/>
          <w:sz w:val="32"/>
          <w:szCs w:val="32"/>
        </w:rPr>
        <w:t>年</w:t>
      </w:r>
      <w:r>
        <w:rPr>
          <w:rFonts w:hint="eastAsia" w:ascii="仿宋_GB2312" w:hAnsi="仿宋" w:eastAsia="仿宋_GB2312"/>
          <w:sz w:val="32"/>
          <w:szCs w:val="32"/>
          <w:lang w:val="en-US" w:eastAsia="zh-CN"/>
        </w:rPr>
        <w:t>总支出</w:t>
      </w:r>
      <w:r>
        <w:rPr>
          <w:rFonts w:hint="eastAsia" w:ascii="仿宋_GB2312" w:hAnsi="仿宋"/>
          <w:sz w:val="32"/>
          <w:szCs w:val="32"/>
          <w:lang w:val="en-US" w:eastAsia="zh-CN"/>
        </w:rPr>
        <w:t>85672208.15</w:t>
      </w:r>
      <w:r>
        <w:rPr>
          <w:rFonts w:hint="eastAsia" w:ascii="仿宋_GB2312" w:hAnsi="仿宋" w:eastAsia="仿宋_GB2312"/>
          <w:sz w:val="32"/>
          <w:szCs w:val="32"/>
        </w:rPr>
        <w:t>元</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其中：</w:t>
      </w:r>
      <w:r>
        <w:rPr>
          <w:rFonts w:hint="eastAsia" w:ascii="仿宋_GB2312" w:hAnsi="仿宋"/>
          <w:sz w:val="32"/>
          <w:szCs w:val="32"/>
          <w:lang w:val="en-US" w:eastAsia="zh-CN"/>
        </w:rPr>
        <w:t>一般公共服务支出11214.16，</w:t>
      </w:r>
      <w:r>
        <w:rPr>
          <w:rFonts w:hint="eastAsia" w:ascii="仿宋_GB2312" w:hAnsi="仿宋" w:eastAsia="仿宋_GB2312"/>
          <w:sz w:val="32"/>
          <w:szCs w:val="32"/>
          <w:lang w:val="en-US" w:eastAsia="zh-CN"/>
        </w:rPr>
        <w:t>教育支出</w:t>
      </w:r>
      <w:r>
        <w:rPr>
          <w:rFonts w:hint="eastAsia" w:ascii="仿宋_GB2312" w:hAnsi="仿宋" w:eastAsia="仿宋_GB2312"/>
          <w:sz w:val="32"/>
          <w:szCs w:val="32"/>
        </w:rPr>
        <w:t>5400</w:t>
      </w:r>
      <w:r>
        <w:rPr>
          <w:rFonts w:hint="eastAsia" w:ascii="仿宋_GB2312" w:hAnsi="仿宋" w:eastAsia="仿宋_GB2312"/>
          <w:sz w:val="32"/>
          <w:szCs w:val="32"/>
          <w:lang w:val="en-US" w:eastAsia="zh-CN"/>
        </w:rPr>
        <w:t>元，社会保障和就业支出</w:t>
      </w:r>
      <w:r>
        <w:rPr>
          <w:rFonts w:hint="eastAsia" w:ascii="仿宋_GB2312" w:hAnsi="仿宋" w:eastAsia="仿宋_GB2312"/>
          <w:sz w:val="32"/>
          <w:szCs w:val="32"/>
        </w:rPr>
        <w:t>251465.28</w:t>
      </w:r>
      <w:r>
        <w:rPr>
          <w:rFonts w:hint="eastAsia" w:ascii="仿宋_GB2312" w:hAnsi="仿宋" w:eastAsia="仿宋_GB2312"/>
          <w:sz w:val="32"/>
          <w:szCs w:val="32"/>
          <w:lang w:val="en-US" w:eastAsia="zh-CN"/>
        </w:rPr>
        <w:t>元</w:t>
      </w:r>
      <w:r>
        <w:rPr>
          <w:rFonts w:hint="eastAsia" w:ascii="仿宋_GB2312" w:hAnsi="仿宋" w:eastAsia="仿宋_GB2312"/>
          <w:sz w:val="32"/>
          <w:szCs w:val="32"/>
          <w:lang w:eastAsia="zh-CN"/>
        </w:rPr>
        <w:t>，</w:t>
      </w:r>
      <w:r>
        <w:rPr>
          <w:rFonts w:hint="eastAsia" w:ascii="仿宋_GB2312" w:hAnsi="仿宋"/>
          <w:sz w:val="32"/>
          <w:szCs w:val="32"/>
          <w:lang w:val="en-US" w:eastAsia="zh-CN"/>
        </w:rPr>
        <w:t>卫生健康支出162824.89，</w:t>
      </w:r>
      <w:r>
        <w:rPr>
          <w:rFonts w:hint="eastAsia" w:ascii="仿宋_GB2312" w:hAnsi="仿宋" w:eastAsia="仿宋_GB2312"/>
          <w:sz w:val="32"/>
          <w:szCs w:val="32"/>
          <w:lang w:eastAsia="zh-CN"/>
        </w:rPr>
        <w:t>城乡社区支出</w:t>
      </w:r>
      <w:r>
        <w:rPr>
          <w:rFonts w:hint="eastAsia" w:ascii="仿宋_GB2312" w:hAnsi="仿宋" w:eastAsia="仿宋_GB2312"/>
          <w:sz w:val="32"/>
          <w:szCs w:val="32"/>
          <w:lang w:val="en-US" w:eastAsia="zh-CN"/>
        </w:rPr>
        <w:t>84965885.82元，住房保障支出275418元。</w:t>
      </w:r>
    </w:p>
    <w:p>
      <w:pPr>
        <w:snapToGrid w:val="0"/>
        <w:spacing w:line="520" w:lineRule="exact"/>
        <w:ind w:firstLine="594" w:firstLineChars="200"/>
        <w:rPr>
          <w:rFonts w:hint="eastAsia" w:ascii="仿宋_GB2312" w:hAnsi="仿宋" w:eastAsia="仿宋_GB2312"/>
          <w:sz w:val="32"/>
          <w:szCs w:val="32"/>
          <w:lang w:val="en-US" w:eastAsia="zh-CN"/>
        </w:rPr>
      </w:pPr>
      <w:r>
        <w:rPr>
          <w:rFonts w:hint="eastAsia" w:ascii="楷体_GB2312" w:hAnsi="仿宋" w:eastAsia="楷体_GB2312"/>
          <w:b/>
          <w:sz w:val="32"/>
          <w:szCs w:val="32"/>
        </w:rPr>
        <w:t>年末结转和结余情况</w:t>
      </w:r>
      <w:r>
        <w:rPr>
          <w:rFonts w:hint="eastAsia" w:ascii="仿宋" w:hAnsi="仿宋" w:eastAsia="仿宋" w:cs="仿宋"/>
          <w:b/>
          <w:bCs/>
          <w:sz w:val="32"/>
          <w:szCs w:val="32"/>
          <w:lang w:val="en-US" w:eastAsia="zh-CN"/>
        </w:rPr>
        <w:t>：</w:t>
      </w:r>
      <w:r>
        <w:rPr>
          <w:rFonts w:hint="eastAsia" w:ascii="仿宋_GB2312" w:hAnsi="仿宋"/>
          <w:sz w:val="32"/>
          <w:szCs w:val="32"/>
          <w:lang w:val="en-US" w:eastAsia="zh-CN"/>
        </w:rPr>
        <w:t>2021</w:t>
      </w:r>
      <w:r>
        <w:rPr>
          <w:rFonts w:hint="eastAsia" w:ascii="仿宋_GB2312" w:hAnsi="仿宋" w:eastAsia="仿宋_GB2312"/>
          <w:sz w:val="32"/>
          <w:szCs w:val="32"/>
          <w:lang w:val="en-US" w:eastAsia="zh-CN"/>
        </w:rPr>
        <w:t>年年末结转和结余139.59元，其中基本支出年初结转139.59元</w:t>
      </w:r>
      <w:r>
        <w:rPr>
          <w:rFonts w:hint="eastAsia" w:ascii="仿宋_GB2312" w:hAnsi="仿宋"/>
          <w:sz w:val="32"/>
          <w:szCs w:val="32"/>
          <w:lang w:val="en-US" w:eastAsia="zh-CN"/>
        </w:rPr>
        <w:t>。</w:t>
      </w:r>
    </w:p>
    <w:p>
      <w:pPr>
        <w:keepNext w:val="0"/>
        <w:keepLines w:val="0"/>
        <w:pageBreakBefore w:val="0"/>
        <w:widowControl w:val="0"/>
        <w:numPr>
          <w:ilvl w:val="0"/>
          <w:numId w:val="1"/>
        </w:numPr>
        <w:kinsoku/>
        <w:wordWrap/>
        <w:overflowPunct/>
        <w:topLinePunct/>
        <w:autoSpaceDE/>
        <w:autoSpaceDN/>
        <w:bidi w:val="0"/>
        <w:adjustRightInd/>
        <w:spacing w:line="580" w:lineRule="exact"/>
        <w:ind w:firstLine="594" w:firstLineChars="200"/>
        <w:textAlignment w:val="auto"/>
        <w:rPr>
          <w:rFonts w:hint="eastAsia" w:ascii="楷体" w:hAnsi="楷体" w:eastAsia="楷体" w:cs="楷体"/>
          <w:b/>
          <w:bCs/>
          <w:szCs w:val="32"/>
        </w:rPr>
      </w:pPr>
      <w:r>
        <w:rPr>
          <w:rFonts w:hint="eastAsia" w:ascii="楷体" w:hAnsi="楷体" w:eastAsia="楷体" w:cs="楷体"/>
          <w:b/>
          <w:bCs/>
          <w:szCs w:val="32"/>
        </w:rPr>
        <w:t>部门整体支出绩效目标</w:t>
      </w:r>
      <w:r>
        <w:rPr>
          <w:rFonts w:hint="eastAsia" w:ascii="楷体" w:hAnsi="楷体" w:eastAsia="楷体" w:cs="楷体"/>
          <w:b/>
          <w:bCs/>
          <w:szCs w:val="32"/>
          <w:lang w:eastAsia="zh-CN"/>
        </w:rPr>
        <w:t>、</w:t>
      </w:r>
      <w:r>
        <w:rPr>
          <w:rFonts w:hint="eastAsia" w:ascii="楷体" w:hAnsi="楷体" w:eastAsia="楷体" w:cs="楷体"/>
          <w:b/>
          <w:bCs/>
          <w:szCs w:val="32"/>
        </w:rPr>
        <w:t>预决算公开</w:t>
      </w:r>
      <w:r>
        <w:rPr>
          <w:rFonts w:hint="eastAsia" w:ascii="楷体" w:hAnsi="楷体" w:eastAsia="楷体" w:cs="楷体"/>
          <w:b/>
          <w:bCs/>
          <w:szCs w:val="32"/>
          <w:lang w:eastAsia="zh-CN"/>
        </w:rPr>
        <w:t>、</w:t>
      </w:r>
      <w:r>
        <w:rPr>
          <w:rFonts w:hint="eastAsia" w:ascii="楷体" w:hAnsi="楷体" w:eastAsia="楷体" w:cs="楷体"/>
          <w:b/>
          <w:bCs/>
          <w:szCs w:val="32"/>
        </w:rPr>
        <w:t>存量资金管理</w:t>
      </w:r>
      <w:r>
        <w:rPr>
          <w:rFonts w:hint="eastAsia" w:ascii="楷体" w:hAnsi="楷体" w:eastAsia="楷体" w:cs="楷体"/>
          <w:b/>
          <w:bCs/>
          <w:szCs w:val="32"/>
          <w:lang w:eastAsia="zh-CN"/>
        </w:rPr>
        <w:t>、</w:t>
      </w:r>
      <w:r>
        <w:rPr>
          <w:rFonts w:hint="eastAsia" w:ascii="楷体" w:hAnsi="楷体" w:eastAsia="楷体" w:cs="楷体"/>
          <w:b/>
          <w:bCs/>
          <w:szCs w:val="32"/>
        </w:rPr>
        <w:t>三公经费控制</w:t>
      </w:r>
      <w:r>
        <w:rPr>
          <w:rFonts w:hint="eastAsia" w:ascii="楷体" w:hAnsi="楷体" w:eastAsia="楷体" w:cs="楷体"/>
          <w:b/>
          <w:bCs/>
          <w:szCs w:val="32"/>
          <w:lang w:eastAsia="zh-CN"/>
        </w:rPr>
        <w:t>、</w:t>
      </w:r>
      <w:r>
        <w:rPr>
          <w:rFonts w:hint="eastAsia" w:ascii="楷体" w:hAnsi="楷体" w:eastAsia="楷体" w:cs="楷体"/>
          <w:b/>
          <w:bCs/>
          <w:szCs w:val="32"/>
        </w:rPr>
        <w:t>内部管理制度建设</w:t>
      </w:r>
    </w:p>
    <w:p>
      <w:pPr>
        <w:keepNext w:val="0"/>
        <w:keepLines w:val="0"/>
        <w:pageBreakBefore w:val="0"/>
        <w:widowControl w:val="0"/>
        <w:numPr>
          <w:ilvl w:val="0"/>
          <w:numId w:val="0"/>
        </w:numPr>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rPr>
      </w:pPr>
      <w:r>
        <w:rPr>
          <w:rFonts w:hint="eastAsia" w:ascii="仿宋" w:hAnsi="仿宋" w:eastAsia="仿宋" w:cs="仿宋"/>
          <w:szCs w:val="32"/>
          <w:lang w:val="en-US" w:eastAsia="zh-CN"/>
        </w:rPr>
        <w:t>绩效目标：</w:t>
      </w:r>
      <w:r>
        <w:rPr>
          <w:rFonts w:hint="eastAsia" w:ascii="仿宋" w:hAnsi="仿宋" w:eastAsia="仿宋" w:cs="仿宋"/>
          <w:szCs w:val="32"/>
        </w:rPr>
        <w:t>贯彻执行国家、省、市城市管理及综合行政执法相关法律、规定。负责制定呈贡区城市管理及综合行政执法工作的发展战略，中长期规划和年度计划，经批准后组织实施；制定呈贡区城市管理治理和专项整治方案及年度工作计划，并组织实施。</w:t>
      </w:r>
    </w:p>
    <w:p>
      <w:pPr>
        <w:keepNext w:val="0"/>
        <w:keepLines w:val="0"/>
        <w:pageBreakBefore w:val="0"/>
        <w:widowControl w:val="0"/>
        <w:numPr>
          <w:ilvl w:val="0"/>
          <w:numId w:val="0"/>
        </w:numPr>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val="en-US" w:eastAsia="zh-CN"/>
        </w:rPr>
      </w:pPr>
      <w:r>
        <w:rPr>
          <w:rFonts w:hint="eastAsia" w:ascii="仿宋" w:hAnsi="仿宋" w:eastAsia="仿宋" w:cs="仿宋"/>
          <w:szCs w:val="32"/>
        </w:rPr>
        <w:t>预决算公开</w:t>
      </w:r>
      <w:r>
        <w:rPr>
          <w:rFonts w:hint="eastAsia" w:ascii="仿宋" w:hAnsi="仿宋" w:eastAsia="仿宋" w:cs="仿宋"/>
          <w:szCs w:val="32"/>
          <w:lang w:eastAsia="zh-CN"/>
        </w:rPr>
        <w:t>：</w:t>
      </w:r>
      <w:r>
        <w:rPr>
          <w:rFonts w:hint="eastAsia" w:ascii="仿宋" w:hAnsi="仿宋" w:eastAsia="仿宋" w:cs="仿宋"/>
          <w:szCs w:val="32"/>
          <w:lang w:val="en-US" w:eastAsia="zh-CN"/>
        </w:rPr>
        <w:t>2021年呈贡区城市管理局严格按照预决算公开要求，在拿到相关预决算批复后20日内将其相关资料表格在中国呈贡门户网站公开。</w:t>
      </w:r>
    </w:p>
    <w:p>
      <w:pPr>
        <w:keepNext w:val="0"/>
        <w:keepLines w:val="0"/>
        <w:pageBreakBefore w:val="0"/>
        <w:widowControl w:val="0"/>
        <w:numPr>
          <w:ilvl w:val="0"/>
          <w:numId w:val="0"/>
        </w:numPr>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val="en-US" w:eastAsia="zh-CN"/>
        </w:rPr>
      </w:pPr>
      <w:r>
        <w:rPr>
          <w:rFonts w:hint="eastAsia" w:ascii="仿宋" w:hAnsi="仿宋" w:eastAsia="仿宋" w:cs="仿宋"/>
          <w:szCs w:val="32"/>
        </w:rPr>
        <w:t>存量资金管理</w:t>
      </w:r>
      <w:r>
        <w:rPr>
          <w:rFonts w:hint="eastAsia" w:ascii="仿宋" w:hAnsi="仿宋" w:eastAsia="仿宋" w:cs="仿宋"/>
          <w:szCs w:val="32"/>
          <w:lang w:eastAsia="zh-CN"/>
        </w:rPr>
        <w:t>：</w:t>
      </w:r>
      <w:r>
        <w:rPr>
          <w:rFonts w:hint="eastAsia" w:ascii="仿宋" w:hAnsi="仿宋" w:eastAsia="仿宋" w:cs="仿宋"/>
          <w:szCs w:val="32"/>
          <w:lang w:val="en-US" w:eastAsia="zh-CN"/>
        </w:rPr>
        <w:t>2021年呈贡区城市管理局每月按时报送存量资金报表，并将存量超过两年以上的存量资金及时缴入国库。</w:t>
      </w:r>
    </w:p>
    <w:p>
      <w:pPr>
        <w:keepNext w:val="0"/>
        <w:keepLines w:val="0"/>
        <w:pageBreakBefore w:val="0"/>
        <w:widowControl w:val="0"/>
        <w:numPr>
          <w:ilvl w:val="0"/>
          <w:numId w:val="0"/>
        </w:numPr>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eastAsia="zh-CN"/>
        </w:rPr>
      </w:pPr>
      <w:r>
        <w:rPr>
          <w:rFonts w:hint="eastAsia" w:ascii="仿宋" w:hAnsi="仿宋" w:eastAsia="仿宋" w:cs="仿宋"/>
          <w:szCs w:val="32"/>
        </w:rPr>
        <w:t>三公经费控制</w:t>
      </w:r>
      <w:r>
        <w:rPr>
          <w:rFonts w:hint="eastAsia" w:ascii="仿宋" w:hAnsi="仿宋" w:eastAsia="仿宋" w:cs="仿宋"/>
          <w:szCs w:val="32"/>
          <w:lang w:eastAsia="zh-CN"/>
        </w:rPr>
        <w:t>：我单位严格控制三公经费开支，降低三公经费预算。</w:t>
      </w:r>
    </w:p>
    <w:p>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594" w:firstLineChars="200"/>
        <w:textAlignment w:val="auto"/>
        <w:rPr>
          <w:rFonts w:hint="eastAsia" w:ascii="仿宋" w:hAnsi="仿宋" w:eastAsia="仿宋" w:cs="仿宋"/>
          <w:szCs w:val="32"/>
        </w:rPr>
      </w:pPr>
      <w:r>
        <w:rPr>
          <w:rFonts w:hint="eastAsia" w:ascii="仿宋" w:hAnsi="仿宋" w:eastAsia="仿宋" w:cs="仿宋"/>
          <w:szCs w:val="32"/>
        </w:rPr>
        <w:t>内部管理制度建设</w:t>
      </w:r>
      <w:r>
        <w:rPr>
          <w:rFonts w:hint="eastAsia" w:ascii="仿宋" w:hAnsi="仿宋" w:eastAsia="仿宋" w:cs="仿宋"/>
          <w:szCs w:val="32"/>
          <w:lang w:eastAsia="zh-CN"/>
        </w:rPr>
        <w:t>：根据内部控制建设要求，我单位按照项目实施实际情况，健全建立相关规章制度。项目实施，合同签订设专人管理。</w:t>
      </w:r>
    </w:p>
    <w:p>
      <w:pPr>
        <w:keepNext w:val="0"/>
        <w:keepLines w:val="0"/>
        <w:pageBreakBefore w:val="0"/>
        <w:widowControl w:val="0"/>
        <w:numPr>
          <w:ilvl w:val="0"/>
          <w:numId w:val="1"/>
        </w:numPr>
        <w:kinsoku/>
        <w:wordWrap/>
        <w:overflowPunct/>
        <w:topLinePunct/>
        <w:autoSpaceDE/>
        <w:autoSpaceDN/>
        <w:bidi w:val="0"/>
        <w:adjustRightInd/>
        <w:spacing w:line="580" w:lineRule="exact"/>
        <w:ind w:left="0" w:leftChars="0" w:firstLine="594" w:firstLineChars="200"/>
        <w:textAlignment w:val="auto"/>
        <w:rPr>
          <w:rFonts w:hint="eastAsia" w:ascii="楷体" w:hAnsi="楷体" w:eastAsia="楷体" w:cs="楷体"/>
          <w:b/>
          <w:bCs/>
          <w:szCs w:val="32"/>
        </w:rPr>
      </w:pPr>
      <w:r>
        <w:rPr>
          <w:rFonts w:hint="eastAsia" w:ascii="楷体" w:hAnsi="楷体" w:eastAsia="楷体" w:cs="楷体"/>
          <w:b/>
          <w:bCs/>
          <w:szCs w:val="32"/>
        </w:rPr>
        <w:t>部门整体支出或项目实施情况分析</w:t>
      </w:r>
    </w:p>
    <w:p>
      <w:pPr>
        <w:keepNext w:val="0"/>
        <w:keepLines w:val="0"/>
        <w:pageBreakBefore w:val="0"/>
        <w:widowControl w:val="0"/>
        <w:numPr>
          <w:ilvl w:val="0"/>
          <w:numId w:val="0"/>
        </w:numPr>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val="en-US" w:eastAsia="zh-CN"/>
        </w:rPr>
      </w:pPr>
      <w:r>
        <w:rPr>
          <w:rFonts w:hint="eastAsia" w:ascii="仿宋" w:hAnsi="仿宋" w:eastAsia="仿宋" w:cs="仿宋"/>
          <w:szCs w:val="32"/>
          <w:lang w:eastAsia="zh-CN"/>
        </w:rPr>
        <w:t>呈贡区城市管理局项目资金管理严格按照财经纪律及我局财务管理制度执行，项目支出超过一万元需报请局长办公会审议后列支，项目支出超过</w:t>
      </w:r>
      <w:r>
        <w:rPr>
          <w:rFonts w:hint="eastAsia" w:ascii="仿宋" w:hAnsi="仿宋" w:eastAsia="仿宋" w:cs="仿宋"/>
          <w:szCs w:val="32"/>
          <w:lang w:val="en-US" w:eastAsia="zh-CN"/>
        </w:rPr>
        <w:t>10万元还需报请局党组会审议后列支。</w:t>
      </w:r>
    </w:p>
    <w:p>
      <w:pPr>
        <w:snapToGrid w:val="0"/>
        <w:spacing w:line="520" w:lineRule="exact"/>
        <w:ind w:firstLine="594"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昆明市呈贡区城市管理局</w:t>
      </w:r>
      <w:r>
        <w:rPr>
          <w:rFonts w:hint="eastAsia" w:ascii="仿宋_GB2312" w:hAnsi="仿宋"/>
          <w:sz w:val="32"/>
          <w:szCs w:val="32"/>
          <w:lang w:val="en-US" w:eastAsia="zh-CN"/>
        </w:rPr>
        <w:t>2021</w:t>
      </w:r>
      <w:r>
        <w:rPr>
          <w:rFonts w:hint="eastAsia" w:ascii="仿宋_GB2312" w:hAnsi="仿宋" w:eastAsia="仿宋_GB2312"/>
          <w:sz w:val="32"/>
          <w:szCs w:val="32"/>
          <w:lang w:val="en-US" w:eastAsia="zh-CN"/>
        </w:rPr>
        <w:t>年度一般公共预算财政拨款收入共</w:t>
      </w:r>
      <w:r>
        <w:rPr>
          <w:rFonts w:hint="eastAsia" w:ascii="仿宋_GB2312" w:hAnsi="仿宋"/>
          <w:sz w:val="32"/>
          <w:szCs w:val="32"/>
          <w:lang w:val="en-US" w:eastAsia="zh-CN"/>
        </w:rPr>
        <w:t>85672204.15</w:t>
      </w:r>
      <w:r>
        <w:rPr>
          <w:rFonts w:hint="eastAsia" w:ascii="仿宋_GB2312" w:hAnsi="仿宋" w:eastAsia="仿宋_GB2312"/>
          <w:sz w:val="32"/>
          <w:szCs w:val="32"/>
          <w:lang w:val="en-US" w:eastAsia="zh-CN"/>
        </w:rPr>
        <w:t>元,占本年收入合计的100%。一般公共预算财政拨款支出共</w:t>
      </w:r>
      <w:r>
        <w:rPr>
          <w:rFonts w:hint="eastAsia" w:ascii="仿宋_GB2312" w:hAnsi="仿宋"/>
          <w:sz w:val="32"/>
          <w:szCs w:val="32"/>
          <w:lang w:val="en-US" w:eastAsia="zh-CN"/>
        </w:rPr>
        <w:t>85672204.15</w:t>
      </w:r>
      <w:r>
        <w:rPr>
          <w:rFonts w:hint="eastAsia" w:ascii="仿宋_GB2312" w:hAnsi="仿宋" w:eastAsia="仿宋_GB2312"/>
          <w:sz w:val="32"/>
          <w:szCs w:val="32"/>
          <w:lang w:val="en-US" w:eastAsia="zh-CN"/>
        </w:rPr>
        <w:t>元，其中基本支出24143390.76元，</w:t>
      </w:r>
      <w:r>
        <w:rPr>
          <w:rFonts w:hint="eastAsia" w:ascii="仿宋_GB2312" w:hAnsi="仿宋"/>
          <w:sz w:val="32"/>
          <w:szCs w:val="32"/>
          <w:lang w:val="en-US" w:eastAsia="zh-CN"/>
        </w:rPr>
        <w:t>包含</w:t>
      </w:r>
      <w:r>
        <w:rPr>
          <w:rFonts w:hint="eastAsia" w:ascii="仿宋_GB2312" w:hAnsi="仿宋" w:eastAsia="仿宋_GB2312"/>
          <w:sz w:val="32"/>
          <w:szCs w:val="32"/>
          <w:lang w:val="en-US" w:eastAsia="zh-CN"/>
        </w:rPr>
        <w:t>人员经费支出3459363.15元</w:t>
      </w:r>
      <w:r>
        <w:rPr>
          <w:rFonts w:hint="eastAsia" w:ascii="仿宋_GB2312" w:hAnsi="仿宋"/>
          <w:sz w:val="32"/>
          <w:szCs w:val="32"/>
          <w:lang w:val="en-US" w:eastAsia="zh-CN"/>
        </w:rPr>
        <w:t>，日</w:t>
      </w:r>
      <w:r>
        <w:rPr>
          <w:rFonts w:hint="eastAsia" w:ascii="仿宋_GB2312" w:hAnsi="仿宋" w:eastAsia="仿宋_GB2312"/>
          <w:sz w:val="32"/>
          <w:szCs w:val="32"/>
          <w:lang w:val="en-US" w:eastAsia="zh-CN"/>
        </w:rPr>
        <w:t>常公用经费20684027.61元</w:t>
      </w:r>
      <w:r>
        <w:rPr>
          <w:rFonts w:hint="eastAsia" w:ascii="仿宋_GB2312" w:hAnsi="仿宋"/>
          <w:sz w:val="32"/>
          <w:szCs w:val="32"/>
          <w:lang w:val="en-US" w:eastAsia="zh-CN"/>
        </w:rPr>
        <w:t>；</w:t>
      </w:r>
      <w:r>
        <w:rPr>
          <w:rFonts w:hint="eastAsia" w:ascii="仿宋_GB2312" w:hAnsi="仿宋" w:eastAsia="仿宋_GB2312"/>
          <w:sz w:val="32"/>
          <w:szCs w:val="32"/>
          <w:lang w:val="en-US" w:eastAsia="zh-CN"/>
        </w:rPr>
        <w:t>项目支出共61528817.39元。</w:t>
      </w:r>
      <w:bookmarkStart w:id="0" w:name="_GoBack"/>
      <w:bookmarkEnd w:id="0"/>
    </w:p>
    <w:p>
      <w:pPr>
        <w:keepNext w:val="0"/>
        <w:keepLines w:val="0"/>
        <w:pageBreakBefore w:val="0"/>
        <w:widowControl w:val="0"/>
        <w:numPr>
          <w:ilvl w:val="0"/>
          <w:numId w:val="0"/>
        </w:numPr>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val="en-US" w:eastAsia="zh-CN"/>
        </w:rPr>
      </w:pPr>
      <w:r>
        <w:rPr>
          <w:rFonts w:hint="eastAsia" w:ascii="仿宋" w:hAnsi="仿宋" w:eastAsia="仿宋" w:cs="仿宋"/>
          <w:szCs w:val="32"/>
          <w:lang w:val="en-US" w:eastAsia="zh-CN"/>
        </w:rPr>
        <w:t>呈贡区城市管理局项目由各科室组织实施，各科室按照项目立项依据开展年初预算申报及政府采购，项目实施有专人负责管理，严格按照项目合同实施。</w:t>
      </w:r>
    </w:p>
    <w:p>
      <w:pPr>
        <w:keepNext w:val="0"/>
        <w:keepLines w:val="0"/>
        <w:pageBreakBefore w:val="0"/>
        <w:widowControl w:val="0"/>
        <w:kinsoku/>
        <w:wordWrap/>
        <w:overflowPunct/>
        <w:topLinePunct/>
        <w:autoSpaceDE/>
        <w:autoSpaceDN/>
        <w:bidi w:val="0"/>
        <w:adjustRightInd/>
        <w:spacing w:line="580" w:lineRule="exact"/>
        <w:ind w:firstLine="594" w:firstLineChars="200"/>
        <w:textAlignment w:val="auto"/>
        <w:rPr>
          <w:rFonts w:hint="eastAsia" w:ascii="黑体" w:hAnsi="黑体" w:eastAsia="黑体" w:cs="黑体"/>
          <w:szCs w:val="32"/>
        </w:rPr>
      </w:pPr>
      <w:r>
        <w:rPr>
          <w:rFonts w:hint="eastAsia" w:ascii="黑体" w:hAnsi="黑体" w:eastAsia="黑体" w:cs="黑体"/>
          <w:szCs w:val="32"/>
        </w:rPr>
        <w:t>二、绩效评价工作情况</w:t>
      </w:r>
    </w:p>
    <w:p>
      <w:pPr>
        <w:keepNext w:val="0"/>
        <w:keepLines w:val="0"/>
        <w:pageBreakBefore w:val="0"/>
        <w:widowControl w:val="0"/>
        <w:kinsoku/>
        <w:wordWrap/>
        <w:overflowPunct/>
        <w:topLinePunct/>
        <w:autoSpaceDE/>
        <w:autoSpaceDN/>
        <w:bidi w:val="0"/>
        <w:adjustRightInd/>
        <w:spacing w:line="580" w:lineRule="exact"/>
        <w:ind w:firstLine="594"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绩效评价目的</w:t>
      </w:r>
    </w:p>
    <w:p>
      <w:pPr>
        <w:keepNext w:val="0"/>
        <w:keepLines w:val="0"/>
        <w:pageBreakBefore w:val="0"/>
        <w:widowControl w:val="0"/>
        <w:kinsoku/>
        <w:wordWrap/>
        <w:overflowPunct/>
        <w:topLinePunct w:val="0"/>
        <w:autoSpaceDE/>
        <w:autoSpaceDN/>
        <w:bidi w:val="0"/>
        <w:adjustRightInd/>
        <w:snapToGrid/>
        <w:spacing w:after="0" w:line="580" w:lineRule="exact"/>
        <w:ind w:firstLine="594"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呈贡区</w:t>
      </w:r>
      <w:r>
        <w:rPr>
          <w:rFonts w:hint="eastAsia" w:ascii="仿宋" w:hAnsi="仿宋" w:eastAsia="仿宋" w:cs="仿宋"/>
          <w:sz w:val="32"/>
          <w:szCs w:val="32"/>
          <w:lang w:val="en-US" w:eastAsia="zh-CN"/>
        </w:rPr>
        <w:t>城市管理</w:t>
      </w:r>
      <w:r>
        <w:rPr>
          <w:rFonts w:hint="eastAsia" w:ascii="仿宋" w:hAnsi="仿宋" w:eastAsia="仿宋" w:cs="仿宋"/>
          <w:sz w:val="32"/>
          <w:szCs w:val="32"/>
          <w:lang w:eastAsia="zh-CN"/>
        </w:rPr>
        <w:t>局积极开展项目绩效自评工作，</w:t>
      </w:r>
      <w:r>
        <w:rPr>
          <w:rFonts w:hint="eastAsia" w:ascii="仿宋" w:hAnsi="仿宋" w:eastAsia="仿宋" w:cs="仿宋"/>
          <w:sz w:val="32"/>
          <w:szCs w:val="32"/>
        </w:rPr>
        <w:t>通过绩效评价，掌握</w:t>
      </w:r>
      <w:r>
        <w:rPr>
          <w:rFonts w:hint="eastAsia" w:ascii="仿宋" w:hAnsi="仿宋" w:eastAsia="仿宋" w:cs="仿宋"/>
          <w:sz w:val="32"/>
          <w:szCs w:val="32"/>
          <w:lang w:eastAsia="zh-CN"/>
        </w:rPr>
        <w:t>2021</w:t>
      </w:r>
      <w:r>
        <w:rPr>
          <w:rFonts w:hint="eastAsia" w:ascii="仿宋" w:hAnsi="仿宋" w:eastAsia="仿宋" w:cs="仿宋"/>
          <w:sz w:val="32"/>
          <w:szCs w:val="32"/>
        </w:rPr>
        <w:t>年度部门整体资金支出、资金使用、制度建设、执行情况以及取得的成效；总结经验，找准问题，提出改进的意见和建议。通过绩效评价，完善制度、创新机制、加强管理、强化监督，保证项目资金使用管理的规范性、安全性和有效性；提高群众满意度；完善预算编制，规范财政资金运行，优化财政支出结构，提高财政资金使用效益。</w:t>
      </w:r>
      <w:r>
        <w:rPr>
          <w:rFonts w:hint="eastAsia" w:ascii="仿宋" w:hAnsi="仿宋" w:eastAsia="仿宋" w:cs="仿宋"/>
          <w:sz w:val="32"/>
          <w:szCs w:val="32"/>
          <w:lang w:val="en-US" w:eastAsia="zh-CN"/>
        </w:rPr>
        <w:t>确保</w:t>
      </w:r>
      <w:r>
        <w:rPr>
          <w:rFonts w:hint="eastAsia" w:ascii="仿宋" w:hAnsi="仿宋" w:eastAsia="仿宋" w:cs="仿宋"/>
          <w:sz w:val="32"/>
          <w:szCs w:val="32"/>
          <w:lang w:eastAsia="zh-CN"/>
        </w:rPr>
        <w:t>项目实施达到立项要求，经费开支有效果，将每一分财政预算用在刀刃上为目的。</w:t>
      </w:r>
    </w:p>
    <w:p>
      <w:pPr>
        <w:keepNext w:val="0"/>
        <w:keepLines w:val="0"/>
        <w:pageBreakBefore w:val="0"/>
        <w:widowControl w:val="0"/>
        <w:numPr>
          <w:ilvl w:val="0"/>
          <w:numId w:val="2"/>
        </w:numPr>
        <w:kinsoku/>
        <w:wordWrap/>
        <w:overflowPunct/>
        <w:topLinePunct/>
        <w:autoSpaceDE/>
        <w:autoSpaceDN/>
        <w:bidi w:val="0"/>
        <w:adjustRightInd/>
        <w:spacing w:line="580" w:lineRule="exact"/>
        <w:ind w:firstLine="594"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rPr>
        <w:t>绩效评价工作过程</w:t>
      </w:r>
    </w:p>
    <w:p>
      <w:pPr>
        <w:keepNext w:val="0"/>
        <w:keepLines w:val="0"/>
        <w:pageBreakBefore w:val="0"/>
        <w:widowControl w:val="0"/>
        <w:numPr>
          <w:ilvl w:val="0"/>
          <w:numId w:val="0"/>
        </w:numPr>
        <w:kinsoku/>
        <w:wordWrap/>
        <w:overflowPunct/>
        <w:topLinePunct/>
        <w:autoSpaceDE/>
        <w:autoSpaceDN/>
        <w:bidi w:val="0"/>
        <w:adjustRightInd/>
        <w:snapToGrid/>
        <w:spacing w:line="580" w:lineRule="exact"/>
        <w:ind w:firstLine="594"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1.</w:t>
      </w:r>
      <w:r>
        <w:rPr>
          <w:rFonts w:hint="eastAsia" w:ascii="仿宋" w:hAnsi="仿宋" w:eastAsia="仿宋" w:cs="仿宋"/>
          <w:sz w:val="32"/>
          <w:szCs w:val="32"/>
          <w:lang w:val="en-US" w:eastAsia="zh-CN"/>
        </w:rPr>
        <w:t>前期准备</w:t>
      </w:r>
    </w:p>
    <w:p>
      <w:pPr>
        <w:keepNext w:val="0"/>
        <w:keepLines w:val="0"/>
        <w:pageBreakBefore w:val="0"/>
        <w:widowControl w:val="0"/>
        <w:kinsoku/>
        <w:wordWrap/>
        <w:overflowPunct/>
        <w:topLinePunct/>
        <w:autoSpaceDE/>
        <w:autoSpaceDN/>
        <w:bidi w:val="0"/>
        <w:adjustRightInd/>
        <w:spacing w:line="580" w:lineRule="exact"/>
        <w:ind w:firstLine="594"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呈贡区城市管理局严格</w:t>
      </w:r>
      <w:r>
        <w:rPr>
          <w:rFonts w:hint="eastAsia" w:ascii="仿宋" w:hAnsi="仿宋" w:eastAsia="仿宋" w:cs="仿宋"/>
          <w:sz w:val="32"/>
          <w:szCs w:val="32"/>
          <w:lang w:eastAsia="zh-CN"/>
        </w:rPr>
        <w:t>按要求开展自评工作，在绩效评价前期成立评价工作组，收集评价依据，确定评价内容。做好前期准备工作确保评价的客观、公正，评价结果的真实、准确。</w:t>
      </w:r>
    </w:p>
    <w:p>
      <w:pPr>
        <w:keepNext w:val="0"/>
        <w:keepLines w:val="0"/>
        <w:pageBreakBefore w:val="0"/>
        <w:widowControl w:val="0"/>
        <w:kinsoku/>
        <w:wordWrap/>
        <w:overflowPunct/>
        <w:topLinePunct/>
        <w:autoSpaceDE/>
        <w:autoSpaceDN/>
        <w:bidi w:val="0"/>
        <w:adjustRightInd/>
        <w:snapToGrid/>
        <w:spacing w:line="580" w:lineRule="exact"/>
        <w:ind w:firstLine="594" w:firstLineChars="200"/>
        <w:jc w:val="both"/>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2.</w:t>
      </w:r>
      <w:r>
        <w:rPr>
          <w:rFonts w:hint="eastAsia" w:ascii="仿宋" w:hAnsi="仿宋" w:eastAsia="仿宋" w:cs="仿宋"/>
          <w:sz w:val="32"/>
          <w:szCs w:val="32"/>
        </w:rPr>
        <w:t>组织实施和分析评价</w:t>
      </w:r>
    </w:p>
    <w:p>
      <w:pPr>
        <w:keepNext w:val="0"/>
        <w:keepLines w:val="0"/>
        <w:pageBreakBefore w:val="0"/>
        <w:widowControl w:val="0"/>
        <w:kinsoku/>
        <w:wordWrap/>
        <w:overflowPunct/>
        <w:topLinePunct/>
        <w:autoSpaceDE/>
        <w:autoSpaceDN/>
        <w:bidi w:val="0"/>
        <w:adjustRightInd/>
        <w:spacing w:line="580" w:lineRule="exact"/>
        <w:ind w:firstLine="594" w:firstLineChars="200"/>
        <w:jc w:val="both"/>
        <w:textAlignment w:val="auto"/>
        <w:rPr>
          <w:rFonts w:hint="eastAsia" w:ascii="仿宋" w:hAnsi="仿宋" w:eastAsia="仿宋" w:cs="仿宋"/>
          <w:sz w:val="32"/>
          <w:szCs w:val="32"/>
        </w:rPr>
      </w:pPr>
      <w:r>
        <w:rPr>
          <w:rFonts w:hint="eastAsia" w:ascii="仿宋" w:hAnsi="仿宋" w:eastAsia="仿宋" w:cs="仿宋"/>
          <w:color w:val="000000"/>
          <w:kern w:val="0"/>
          <w:sz w:val="32"/>
          <w:szCs w:val="32"/>
          <w:u w:val="none" w:color="000000"/>
        </w:rPr>
        <w:t>呈贡区</w:t>
      </w:r>
      <w:r>
        <w:rPr>
          <w:rFonts w:hint="eastAsia" w:ascii="仿宋" w:hAnsi="仿宋" w:eastAsia="仿宋" w:cs="仿宋"/>
          <w:color w:val="000000"/>
          <w:kern w:val="0"/>
          <w:sz w:val="32"/>
          <w:szCs w:val="32"/>
          <w:u w:val="none" w:color="000000"/>
          <w:lang w:val="en-US" w:eastAsia="zh-CN"/>
        </w:rPr>
        <w:t>城市管理局</w:t>
      </w:r>
      <w:r>
        <w:rPr>
          <w:rFonts w:hint="eastAsia" w:ascii="仿宋" w:hAnsi="仿宋" w:eastAsia="仿宋" w:cs="仿宋"/>
          <w:color w:val="000000"/>
          <w:kern w:val="0"/>
          <w:sz w:val="32"/>
          <w:szCs w:val="32"/>
          <w:u w:val="none" w:color="000000"/>
        </w:rPr>
        <w:t>负责统筹，</w:t>
      </w:r>
      <w:r>
        <w:rPr>
          <w:rFonts w:hint="eastAsia" w:ascii="仿宋" w:hAnsi="仿宋" w:eastAsia="仿宋" w:cs="仿宋"/>
          <w:color w:val="000000"/>
          <w:kern w:val="0"/>
          <w:sz w:val="32"/>
          <w:szCs w:val="32"/>
          <w:u w:val="none" w:color="000000"/>
          <w:lang w:val="en-US" w:eastAsia="zh-CN"/>
        </w:rPr>
        <w:t>各科室</w:t>
      </w:r>
      <w:r>
        <w:rPr>
          <w:rFonts w:hint="eastAsia" w:ascii="仿宋" w:hAnsi="仿宋" w:eastAsia="仿宋" w:cs="仿宋"/>
          <w:color w:val="000000"/>
          <w:kern w:val="0"/>
          <w:sz w:val="32"/>
          <w:szCs w:val="32"/>
          <w:u w:val="none" w:color="000000"/>
        </w:rPr>
        <w:t>梳理相关项目实施情况，由局财务牵头</w:t>
      </w:r>
      <w:r>
        <w:rPr>
          <w:rFonts w:hint="eastAsia" w:ascii="仿宋" w:hAnsi="仿宋" w:eastAsia="仿宋" w:cs="仿宋"/>
          <w:color w:val="000000"/>
          <w:kern w:val="0"/>
          <w:sz w:val="32"/>
          <w:szCs w:val="32"/>
          <w:u w:val="none" w:color="000000"/>
          <w:lang w:eastAsia="zh-CN"/>
        </w:rPr>
        <w:t>开展</w:t>
      </w:r>
      <w:r>
        <w:rPr>
          <w:rFonts w:hint="eastAsia" w:ascii="仿宋" w:hAnsi="仿宋" w:eastAsia="仿宋" w:cs="仿宋"/>
          <w:color w:val="000000"/>
          <w:kern w:val="0"/>
          <w:sz w:val="32"/>
          <w:szCs w:val="32"/>
          <w:u w:val="none" w:color="000000"/>
        </w:rPr>
        <w:t>绩效自评工作。</w:t>
      </w:r>
      <w:r>
        <w:rPr>
          <w:rFonts w:hint="eastAsia" w:ascii="仿宋" w:hAnsi="仿宋" w:eastAsia="仿宋" w:cs="仿宋"/>
          <w:color w:val="000000"/>
          <w:kern w:val="0"/>
          <w:sz w:val="32"/>
          <w:szCs w:val="32"/>
          <w:u w:val="none" w:color="000000"/>
          <w:lang w:eastAsia="zh-CN"/>
        </w:rPr>
        <w:t>为做好评价工作，了解各个项目绩效目标的设定与完成程度、项目组织实施管理方式、项目资金安排和使用情况、财务管理状况和资产配置使用情况、项目实施所取得的经济效益社会效益和生态环境效益等，</w:t>
      </w:r>
      <w:r>
        <w:rPr>
          <w:rFonts w:hint="eastAsia" w:ascii="仿宋" w:hAnsi="仿宋" w:eastAsia="仿宋" w:cs="仿宋"/>
          <w:sz w:val="32"/>
          <w:szCs w:val="32"/>
          <w:lang w:eastAsia="zh-CN"/>
        </w:rPr>
        <w:t>形成整体支出绩效报告。各个项目根据资金管理使用情况进行自查，形成项目绩效报告。</w:t>
      </w:r>
    </w:p>
    <w:p>
      <w:pPr>
        <w:keepNext w:val="0"/>
        <w:keepLines w:val="0"/>
        <w:pageBreakBefore w:val="0"/>
        <w:widowControl w:val="0"/>
        <w:kinsoku/>
        <w:wordWrap/>
        <w:overflowPunct/>
        <w:topLinePunct/>
        <w:autoSpaceDE/>
        <w:autoSpaceDN/>
        <w:bidi w:val="0"/>
        <w:adjustRightInd/>
        <w:spacing w:line="580" w:lineRule="exact"/>
        <w:ind w:firstLine="594" w:firstLineChars="200"/>
        <w:textAlignment w:val="auto"/>
        <w:rPr>
          <w:rFonts w:hint="eastAsia" w:ascii="黑体" w:hAnsi="黑体" w:eastAsia="黑体" w:cs="黑体"/>
          <w:szCs w:val="32"/>
        </w:rPr>
      </w:pPr>
      <w:r>
        <w:rPr>
          <w:rFonts w:hint="eastAsia" w:ascii="黑体" w:hAnsi="黑体" w:eastAsia="黑体" w:cs="黑体"/>
          <w:szCs w:val="32"/>
        </w:rPr>
        <w:t>三、主要绩效及评价结论</w:t>
      </w:r>
    </w:p>
    <w:p>
      <w:pPr>
        <w:keepNext w:val="0"/>
        <w:keepLines w:val="0"/>
        <w:pageBreakBefore w:val="0"/>
        <w:widowControl w:val="0"/>
        <w:kinsoku/>
        <w:wordWrap/>
        <w:overflowPunct/>
        <w:topLinePunct/>
        <w:autoSpaceDE/>
        <w:autoSpaceDN/>
        <w:bidi w:val="0"/>
        <w:adjustRightInd/>
        <w:spacing w:line="580" w:lineRule="exact"/>
        <w:ind w:firstLine="594" w:firstLineChars="200"/>
        <w:jc w:val="both"/>
        <w:textAlignment w:val="auto"/>
        <w:rPr>
          <w:rFonts w:hint="eastAsia" w:ascii="仿宋" w:hAnsi="仿宋" w:eastAsia="仿宋" w:cs="仿宋"/>
          <w:szCs w:val="32"/>
          <w:lang w:val="en-US" w:eastAsia="zh-CN"/>
        </w:rPr>
      </w:pPr>
      <w:r>
        <w:rPr>
          <w:rFonts w:hint="eastAsia" w:ascii="楷体" w:hAnsi="楷体" w:eastAsia="楷体" w:cs="楷体"/>
          <w:b/>
          <w:bCs/>
          <w:szCs w:val="32"/>
          <w:lang w:eastAsia="zh-CN"/>
        </w:rPr>
        <w:t>（</w:t>
      </w:r>
      <w:r>
        <w:rPr>
          <w:rFonts w:hint="eastAsia" w:ascii="楷体" w:hAnsi="楷体" w:eastAsia="楷体" w:cs="楷体"/>
          <w:b/>
          <w:bCs/>
          <w:szCs w:val="32"/>
          <w:lang w:val="en-US" w:eastAsia="zh-CN"/>
        </w:rPr>
        <w:t>一</w:t>
      </w:r>
      <w:r>
        <w:rPr>
          <w:rFonts w:hint="eastAsia" w:ascii="楷体" w:hAnsi="楷体" w:eastAsia="楷体" w:cs="楷体"/>
          <w:b/>
          <w:bCs/>
          <w:szCs w:val="32"/>
          <w:lang w:eastAsia="zh-CN"/>
        </w:rPr>
        <w:t>）、</w:t>
      </w:r>
      <w:r>
        <w:rPr>
          <w:rFonts w:hint="eastAsia" w:ascii="楷体" w:hAnsi="楷体" w:eastAsia="楷体" w:cs="楷体"/>
          <w:b/>
          <w:bCs/>
          <w:szCs w:val="32"/>
        </w:rPr>
        <w:t>经济性分析</w:t>
      </w:r>
      <w:r>
        <w:rPr>
          <w:rFonts w:hint="eastAsia" w:ascii="楷体" w:hAnsi="楷体" w:eastAsia="楷体" w:cs="楷体"/>
          <w:b/>
          <w:bCs/>
          <w:szCs w:val="32"/>
          <w:lang w:eastAsia="zh-CN"/>
        </w:rPr>
        <w:t>：</w:t>
      </w:r>
      <w:r>
        <w:rPr>
          <w:rFonts w:hint="eastAsia" w:ascii="仿宋" w:hAnsi="仿宋" w:eastAsia="仿宋" w:cs="仿宋"/>
          <w:szCs w:val="32"/>
          <w:lang w:val="en-US" w:eastAsia="zh-CN"/>
        </w:rPr>
        <w:t>严格遵守项目资金专款专用原则，通过政府采购和内控制度相结合，基本达到项目成本节约目的。通过精细化管理，提高城市管理效率，从而降低城市管理成本，进一步节约了财政资金，提高了财政资金使用效益。</w:t>
      </w:r>
    </w:p>
    <w:p>
      <w:pPr>
        <w:keepNext w:val="0"/>
        <w:keepLines w:val="0"/>
        <w:pageBreakBefore w:val="0"/>
        <w:widowControl w:val="0"/>
        <w:kinsoku/>
        <w:wordWrap/>
        <w:overflowPunct/>
        <w:topLinePunct/>
        <w:autoSpaceDE/>
        <w:autoSpaceDN/>
        <w:bidi w:val="0"/>
        <w:adjustRightInd/>
        <w:spacing w:line="580" w:lineRule="exact"/>
        <w:ind w:firstLine="594" w:firstLineChars="200"/>
        <w:jc w:val="both"/>
        <w:textAlignment w:val="auto"/>
        <w:rPr>
          <w:rFonts w:hint="eastAsia" w:ascii="仿宋" w:hAnsi="仿宋" w:eastAsia="仿宋" w:cs="仿宋"/>
          <w:szCs w:val="32"/>
        </w:rPr>
      </w:pPr>
      <w:r>
        <w:rPr>
          <w:rFonts w:hint="eastAsia" w:ascii="楷体" w:hAnsi="楷体" w:eastAsia="楷体" w:cs="楷体"/>
          <w:b/>
          <w:bCs/>
          <w:szCs w:val="32"/>
          <w:lang w:eastAsia="zh-CN"/>
        </w:rPr>
        <w:t>（</w:t>
      </w:r>
      <w:r>
        <w:rPr>
          <w:rFonts w:hint="eastAsia" w:ascii="楷体" w:hAnsi="楷体" w:eastAsia="楷体" w:cs="楷体"/>
          <w:b/>
          <w:bCs/>
          <w:szCs w:val="32"/>
          <w:lang w:val="en-US" w:eastAsia="zh-CN"/>
        </w:rPr>
        <w:t>二</w:t>
      </w:r>
      <w:r>
        <w:rPr>
          <w:rFonts w:hint="eastAsia" w:ascii="楷体" w:hAnsi="楷体" w:eastAsia="楷体" w:cs="楷体"/>
          <w:b/>
          <w:bCs/>
          <w:szCs w:val="32"/>
          <w:lang w:eastAsia="zh-CN"/>
        </w:rPr>
        <w:t>）、</w:t>
      </w:r>
      <w:r>
        <w:rPr>
          <w:rFonts w:hint="eastAsia" w:ascii="楷体" w:hAnsi="楷体" w:eastAsia="楷体" w:cs="楷体"/>
          <w:b/>
          <w:bCs/>
          <w:szCs w:val="32"/>
        </w:rPr>
        <w:t>效率性分析</w:t>
      </w:r>
      <w:r>
        <w:rPr>
          <w:rFonts w:hint="eastAsia" w:ascii="楷体" w:hAnsi="楷体" w:eastAsia="楷体" w:cs="楷体"/>
          <w:b/>
          <w:bCs/>
          <w:szCs w:val="32"/>
          <w:lang w:eastAsia="zh-CN"/>
        </w:rPr>
        <w:t>：</w:t>
      </w:r>
      <w:r>
        <w:rPr>
          <w:rFonts w:hint="eastAsia" w:ascii="仿宋" w:hAnsi="仿宋" w:eastAsia="仿宋" w:cs="仿宋"/>
          <w:szCs w:val="32"/>
          <w:lang w:val="en-US" w:eastAsia="zh-CN"/>
        </w:rPr>
        <w:t>以标准化手段优化资源配置，避免财政资金配置错位、越位、不到位的问题，提高财政资金使用绩效。</w:t>
      </w:r>
      <w:r>
        <w:rPr>
          <w:rFonts w:hint="eastAsia" w:ascii="仿宋" w:hAnsi="仿宋" w:eastAsia="仿宋" w:cs="仿宋"/>
          <w:szCs w:val="32"/>
          <w:lang w:eastAsia="zh-CN"/>
        </w:rPr>
        <w:t>各项目按照合同约定有序进行，</w:t>
      </w:r>
      <w:r>
        <w:rPr>
          <w:rFonts w:hint="eastAsia" w:ascii="仿宋" w:hAnsi="仿宋" w:eastAsia="仿宋" w:cs="仿宋"/>
          <w:szCs w:val="32"/>
          <w:lang w:val="en-US" w:eastAsia="zh-CN"/>
        </w:rPr>
        <w:t>未</w:t>
      </w:r>
      <w:r>
        <w:rPr>
          <w:rFonts w:hint="eastAsia" w:ascii="仿宋" w:hAnsi="仿宋" w:eastAsia="仿宋" w:cs="仿宋"/>
          <w:szCs w:val="32"/>
          <w:lang w:eastAsia="zh-CN"/>
        </w:rPr>
        <w:t>存在踏进度施工项目。实施完成项目均按要求验收审计。</w:t>
      </w:r>
    </w:p>
    <w:p>
      <w:pPr>
        <w:keepNext w:val="0"/>
        <w:keepLines w:val="0"/>
        <w:pageBreakBefore w:val="0"/>
        <w:widowControl w:val="0"/>
        <w:kinsoku/>
        <w:wordWrap/>
        <w:overflowPunct/>
        <w:topLinePunct/>
        <w:autoSpaceDE/>
        <w:autoSpaceDN/>
        <w:bidi w:val="0"/>
        <w:adjustRightInd/>
        <w:spacing w:line="580" w:lineRule="exact"/>
        <w:ind w:firstLine="594" w:firstLineChars="200"/>
        <w:jc w:val="both"/>
        <w:textAlignment w:val="auto"/>
        <w:rPr>
          <w:rFonts w:hint="eastAsia" w:ascii="仿宋" w:hAnsi="仿宋" w:eastAsia="仿宋" w:cs="仿宋"/>
          <w:szCs w:val="32"/>
        </w:rPr>
      </w:pPr>
      <w:r>
        <w:rPr>
          <w:rFonts w:hint="eastAsia" w:ascii="楷体" w:hAnsi="楷体" w:eastAsia="楷体" w:cs="楷体"/>
          <w:b/>
          <w:bCs/>
          <w:szCs w:val="32"/>
          <w:lang w:eastAsia="zh-CN"/>
        </w:rPr>
        <w:t>（</w:t>
      </w:r>
      <w:r>
        <w:rPr>
          <w:rFonts w:hint="eastAsia" w:ascii="楷体" w:hAnsi="楷体" w:eastAsia="楷体" w:cs="楷体"/>
          <w:b/>
          <w:bCs/>
          <w:szCs w:val="32"/>
          <w:lang w:val="en-US" w:eastAsia="zh-CN"/>
        </w:rPr>
        <w:t>三</w:t>
      </w:r>
      <w:r>
        <w:rPr>
          <w:rFonts w:hint="eastAsia" w:ascii="楷体" w:hAnsi="楷体" w:eastAsia="楷体" w:cs="楷体"/>
          <w:b/>
          <w:bCs/>
          <w:szCs w:val="32"/>
          <w:lang w:eastAsia="zh-CN"/>
        </w:rPr>
        <w:t>）</w:t>
      </w:r>
      <w:r>
        <w:rPr>
          <w:rFonts w:hint="eastAsia" w:ascii="楷体" w:hAnsi="楷体" w:eastAsia="楷体" w:cs="楷体"/>
          <w:b/>
          <w:bCs/>
          <w:szCs w:val="32"/>
        </w:rPr>
        <w:t>、效益性分析</w:t>
      </w:r>
      <w:r>
        <w:rPr>
          <w:rFonts w:hint="eastAsia" w:ascii="楷体" w:hAnsi="楷体" w:eastAsia="楷体" w:cs="楷体"/>
          <w:b/>
          <w:bCs/>
          <w:szCs w:val="32"/>
          <w:lang w:eastAsia="zh-CN"/>
        </w:rPr>
        <w:t>：</w:t>
      </w:r>
      <w:r>
        <w:rPr>
          <w:rFonts w:hint="eastAsia" w:ascii="仿宋" w:hAnsi="仿宋" w:eastAsia="仿宋" w:cs="仿宋"/>
          <w:szCs w:val="32"/>
          <w:lang w:eastAsia="zh-CN"/>
        </w:rPr>
        <w:t>稳定办公环境，做好后勤工作，做好上</w:t>
      </w:r>
      <w:r>
        <w:rPr>
          <w:rFonts w:hint="eastAsia" w:ascii="仿宋" w:hAnsi="仿宋" w:eastAsia="仿宋" w:cs="仿宋"/>
          <w:szCs w:val="32"/>
          <w:lang w:val="en-US" w:eastAsia="zh-CN"/>
        </w:rPr>
        <w:t>传</w:t>
      </w:r>
      <w:r>
        <w:rPr>
          <w:rFonts w:hint="eastAsia" w:ascii="仿宋" w:hAnsi="仿宋" w:eastAsia="仿宋" w:cs="仿宋"/>
          <w:szCs w:val="32"/>
          <w:lang w:eastAsia="zh-CN"/>
        </w:rPr>
        <w:t>下达工作，</w:t>
      </w:r>
      <w:r>
        <w:rPr>
          <w:rFonts w:hint="eastAsia" w:ascii="仿宋" w:hAnsi="仿宋" w:eastAsia="仿宋" w:cs="仿宋"/>
          <w:szCs w:val="32"/>
          <w:lang w:val="en-US" w:eastAsia="zh-CN"/>
        </w:rPr>
        <w:t>发挥</w:t>
      </w:r>
      <w:r>
        <w:rPr>
          <w:rFonts w:hint="eastAsia" w:ascii="仿宋" w:hAnsi="仿宋" w:eastAsia="仿宋" w:cs="仿宋"/>
          <w:szCs w:val="32"/>
          <w:lang w:eastAsia="zh-CN"/>
        </w:rPr>
        <w:t>好纽带作用。稳定社会良好风气。做好城管工作，营造良好生活生态环境，为呈贡成为文明城市、宜居城市尽力。城管局现有工作任务做到可持续发展，长期工作任务尽职尽责，做到城管工作可持续发展，项目持续发挥作用期限。</w:t>
      </w:r>
      <w:r>
        <w:rPr>
          <w:rFonts w:hint="eastAsia" w:ascii="仿宋" w:hAnsi="仿宋" w:eastAsia="仿宋" w:cs="仿宋"/>
          <w:szCs w:val="32"/>
        </w:rPr>
        <w:t>严格按照国家相关生态指标实施绿色照明</w:t>
      </w:r>
      <w:r>
        <w:rPr>
          <w:rFonts w:hint="eastAsia" w:ascii="仿宋" w:hAnsi="仿宋" w:eastAsia="仿宋" w:cs="仿宋"/>
          <w:szCs w:val="32"/>
          <w:lang w:eastAsia="zh-CN"/>
        </w:rPr>
        <w:t>，改善呈贡区人居环境，改善呈贡区城市道路通行功能，加强城市市容市貌的清洁、卫生、有序、有利于城市生态环境的建设对呈贡区未来可持续发展影响。</w:t>
      </w:r>
      <w:r>
        <w:rPr>
          <w:rFonts w:hint="eastAsia" w:ascii="仿宋" w:hAnsi="仿宋" w:eastAsia="仿宋" w:cs="仿宋"/>
          <w:color w:val="000000"/>
          <w:kern w:val="0"/>
          <w:szCs w:val="32"/>
        </w:rPr>
        <w:t>通过日常绿化管养、园林景观提升改造项目实施工作，做好养护管护工作，达到年度绿化养护标准，加强绿地养护管理，提高绿地养护质量、提高环境效益。</w:t>
      </w:r>
      <w:r>
        <w:rPr>
          <w:rFonts w:hint="eastAsia" w:ascii="仿宋" w:hAnsi="仿宋" w:eastAsia="仿宋" w:cs="仿宋"/>
          <w:sz w:val="32"/>
          <w:szCs w:val="32"/>
          <w:lang w:eastAsia="zh-CN"/>
        </w:rPr>
        <w:t>进一步提高城市管理水平，不断提升城市品位。</w:t>
      </w:r>
    </w:p>
    <w:p>
      <w:pPr>
        <w:keepNext w:val="0"/>
        <w:keepLines w:val="0"/>
        <w:pageBreakBefore w:val="0"/>
        <w:widowControl w:val="0"/>
        <w:kinsoku/>
        <w:wordWrap/>
        <w:overflowPunct/>
        <w:topLinePunct/>
        <w:autoSpaceDE/>
        <w:autoSpaceDN/>
        <w:bidi w:val="0"/>
        <w:adjustRightInd/>
        <w:spacing w:line="580" w:lineRule="exact"/>
        <w:ind w:firstLine="594" w:firstLineChars="200"/>
        <w:textAlignment w:val="auto"/>
        <w:rPr>
          <w:rFonts w:hint="eastAsia" w:ascii="黑体" w:hAnsi="黑体" w:eastAsia="黑体" w:cs="黑体"/>
          <w:szCs w:val="32"/>
        </w:rPr>
      </w:pPr>
      <w:r>
        <w:rPr>
          <w:rFonts w:hint="eastAsia" w:ascii="黑体" w:hAnsi="黑体" w:eastAsia="黑体" w:cs="黑体"/>
          <w:szCs w:val="32"/>
        </w:rPr>
        <w:t>四、存在的问题</w:t>
      </w:r>
    </w:p>
    <w:p>
      <w:pPr>
        <w:keepNext w:val="0"/>
        <w:keepLines w:val="0"/>
        <w:pageBreakBefore w:val="0"/>
        <w:widowControl w:val="0"/>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eastAsia="zh-CN"/>
        </w:rPr>
      </w:pPr>
      <w:r>
        <w:rPr>
          <w:rFonts w:hint="eastAsia" w:ascii="仿宋" w:hAnsi="仿宋" w:eastAsia="仿宋" w:cs="仿宋"/>
          <w:szCs w:val="32"/>
          <w:lang w:eastAsia="zh-CN"/>
        </w:rPr>
        <w:t>部门内控建设还是存在不及时不到位，对内控建设重视不够，对内控建设认知狭隘，导致内控建设缓慢。</w:t>
      </w:r>
    </w:p>
    <w:p>
      <w:pPr>
        <w:keepNext w:val="0"/>
        <w:keepLines w:val="0"/>
        <w:pageBreakBefore w:val="0"/>
        <w:widowControl w:val="0"/>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val="en-US" w:eastAsia="zh-CN"/>
        </w:rPr>
      </w:pPr>
      <w:r>
        <w:rPr>
          <w:rFonts w:hint="eastAsia" w:ascii="仿宋" w:hAnsi="仿宋" w:eastAsia="仿宋" w:cs="仿宋"/>
          <w:szCs w:val="32"/>
          <w:lang w:val="en-US" w:eastAsia="zh-CN"/>
        </w:rPr>
        <w:t>绩效评价水平有待提高，绩效评价缺乏城市管理特色，绩效自评还满足于完成财政部门下达的任务。</w:t>
      </w:r>
    </w:p>
    <w:p>
      <w:pPr>
        <w:keepNext w:val="0"/>
        <w:keepLines w:val="0"/>
        <w:pageBreakBefore w:val="0"/>
        <w:widowControl w:val="0"/>
        <w:numPr>
          <w:ilvl w:val="0"/>
          <w:numId w:val="3"/>
        </w:numPr>
        <w:kinsoku/>
        <w:wordWrap/>
        <w:overflowPunct/>
        <w:topLinePunct/>
        <w:autoSpaceDE/>
        <w:autoSpaceDN/>
        <w:bidi w:val="0"/>
        <w:adjustRightInd/>
        <w:spacing w:line="580" w:lineRule="exact"/>
        <w:ind w:firstLine="594" w:firstLineChars="200"/>
        <w:textAlignment w:val="auto"/>
        <w:rPr>
          <w:rFonts w:hint="eastAsia" w:ascii="黑体" w:hAnsi="黑体" w:eastAsia="黑体" w:cs="黑体"/>
          <w:szCs w:val="32"/>
        </w:rPr>
      </w:pPr>
      <w:r>
        <w:rPr>
          <w:rFonts w:hint="eastAsia" w:ascii="黑体" w:hAnsi="黑体" w:eastAsia="黑体" w:cs="黑体"/>
          <w:szCs w:val="32"/>
        </w:rPr>
        <w:t>有关建议</w:t>
      </w:r>
    </w:p>
    <w:p>
      <w:pPr>
        <w:keepNext w:val="0"/>
        <w:keepLines w:val="0"/>
        <w:pageBreakBefore w:val="0"/>
        <w:widowControl w:val="0"/>
        <w:numPr>
          <w:ilvl w:val="0"/>
          <w:numId w:val="0"/>
        </w:numPr>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val="en-US" w:eastAsia="zh-CN"/>
        </w:rPr>
      </w:pPr>
      <w:r>
        <w:rPr>
          <w:rFonts w:hint="eastAsia" w:ascii="仿宋" w:hAnsi="仿宋" w:eastAsia="仿宋" w:cs="仿宋"/>
          <w:szCs w:val="32"/>
          <w:lang w:val="en-US" w:eastAsia="zh-CN"/>
        </w:rPr>
        <w:t>建议项目绩效与内部控制建设相结合，全区不单单培训财务人员内控和绩效工作知识，应将绩效管理及内控建设提高到预算管理的高度。</w:t>
      </w:r>
    </w:p>
    <w:p>
      <w:pPr>
        <w:keepNext w:val="0"/>
        <w:keepLines w:val="0"/>
        <w:pageBreakBefore w:val="0"/>
        <w:widowControl w:val="0"/>
        <w:numPr>
          <w:ilvl w:val="0"/>
          <w:numId w:val="0"/>
        </w:numPr>
        <w:kinsoku/>
        <w:wordWrap/>
        <w:overflowPunct/>
        <w:topLinePunct/>
        <w:autoSpaceDE/>
        <w:autoSpaceDN/>
        <w:bidi w:val="0"/>
        <w:adjustRightInd/>
        <w:spacing w:line="580" w:lineRule="exact"/>
        <w:ind w:firstLine="594" w:firstLineChars="200"/>
        <w:textAlignment w:val="auto"/>
        <w:rPr>
          <w:rFonts w:hint="eastAsia" w:ascii="仿宋" w:hAnsi="仿宋" w:eastAsia="仿宋" w:cs="仿宋"/>
          <w:szCs w:val="32"/>
          <w:lang w:val="en-US" w:eastAsia="zh-CN"/>
        </w:rPr>
      </w:pPr>
      <w:r>
        <w:rPr>
          <w:rFonts w:hint="eastAsia" w:ascii="仿宋" w:hAnsi="仿宋" w:eastAsia="仿宋" w:cs="仿宋"/>
          <w:szCs w:val="32"/>
          <w:lang w:val="en-US" w:eastAsia="zh-CN"/>
        </w:rPr>
        <w:t>向其它地区学习绩效评价和管理方面的经验，做到博采众长。</w:t>
      </w:r>
    </w:p>
    <w:p>
      <w:pPr>
        <w:keepNext w:val="0"/>
        <w:keepLines w:val="0"/>
        <w:pageBreakBefore w:val="0"/>
        <w:widowControl w:val="0"/>
        <w:numPr>
          <w:ilvl w:val="0"/>
          <w:numId w:val="3"/>
        </w:numPr>
        <w:kinsoku/>
        <w:wordWrap/>
        <w:overflowPunct/>
        <w:topLinePunct/>
        <w:autoSpaceDE/>
        <w:autoSpaceDN/>
        <w:bidi w:val="0"/>
        <w:adjustRightInd/>
        <w:spacing w:line="580" w:lineRule="exact"/>
        <w:ind w:firstLine="594" w:firstLineChars="200"/>
        <w:textAlignment w:val="auto"/>
        <w:rPr>
          <w:rFonts w:hint="eastAsia" w:ascii="黑体" w:hAnsi="黑体" w:eastAsia="黑体" w:cs="黑体"/>
          <w:szCs w:val="32"/>
        </w:rPr>
      </w:pPr>
      <w:r>
        <w:rPr>
          <w:rFonts w:hint="eastAsia" w:ascii="黑体" w:hAnsi="黑体" w:eastAsia="黑体" w:cs="黑体"/>
          <w:szCs w:val="32"/>
        </w:rPr>
        <w:t>其他需要说明的问题</w:t>
      </w:r>
    </w:p>
    <w:p>
      <w:pPr>
        <w:keepNext w:val="0"/>
        <w:keepLines w:val="0"/>
        <w:pageBreakBefore w:val="0"/>
        <w:widowControl w:val="0"/>
        <w:kinsoku/>
        <w:wordWrap/>
        <w:overflowPunct/>
        <w:autoSpaceDE/>
        <w:autoSpaceDN/>
        <w:bidi w:val="0"/>
        <w:adjustRightInd/>
        <w:spacing w:line="580" w:lineRule="exact"/>
        <w:ind w:firstLine="594"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无</w:t>
      </w:r>
    </w:p>
    <w:p>
      <w:pPr>
        <w:keepNext w:val="0"/>
        <w:keepLines w:val="0"/>
        <w:pageBreakBefore w:val="0"/>
        <w:widowControl w:val="0"/>
        <w:kinsoku/>
        <w:wordWrap/>
        <w:overflowPunct/>
        <w:autoSpaceDE/>
        <w:autoSpaceDN/>
        <w:bidi w:val="0"/>
        <w:adjustRightInd/>
        <w:spacing w:line="580" w:lineRule="exact"/>
        <w:ind w:firstLine="594" w:firstLineChars="200"/>
        <w:textAlignment w:val="auto"/>
        <w:rPr>
          <w:rFonts w:hint="eastAsia" w:ascii="仿宋" w:hAnsi="仿宋" w:eastAsia="仿宋" w:cs="仿宋"/>
          <w:lang w:val="en-US" w:eastAsia="zh-CN"/>
        </w:rPr>
      </w:pPr>
    </w:p>
    <w:p>
      <w:pPr>
        <w:keepNext w:val="0"/>
        <w:keepLines w:val="0"/>
        <w:pageBreakBefore w:val="0"/>
        <w:widowControl w:val="0"/>
        <w:kinsoku/>
        <w:wordWrap/>
        <w:overflowPunct/>
        <w:autoSpaceDE/>
        <w:autoSpaceDN/>
        <w:bidi w:val="0"/>
        <w:adjustRightInd/>
        <w:spacing w:line="580" w:lineRule="exact"/>
        <w:ind w:firstLine="594" w:firstLineChars="200"/>
        <w:textAlignment w:val="auto"/>
        <w:rPr>
          <w:rFonts w:hint="eastAsia" w:ascii="仿宋" w:hAnsi="仿宋" w:eastAsia="仿宋" w:cs="仿宋"/>
          <w:lang w:val="en-US" w:eastAsia="zh-CN"/>
        </w:rPr>
      </w:pPr>
    </w:p>
    <w:p>
      <w:pPr>
        <w:keepNext w:val="0"/>
        <w:keepLines w:val="0"/>
        <w:pageBreakBefore w:val="0"/>
        <w:widowControl w:val="0"/>
        <w:kinsoku/>
        <w:wordWrap w:val="0"/>
        <w:overflowPunct/>
        <w:autoSpaceDE/>
        <w:autoSpaceDN/>
        <w:bidi w:val="0"/>
        <w:adjustRightInd/>
        <w:spacing w:line="580" w:lineRule="exact"/>
        <w:ind w:firstLine="594" w:firstLineChars="200"/>
        <w:jc w:val="right"/>
        <w:textAlignment w:val="auto"/>
        <w:rPr>
          <w:rFonts w:hint="default" w:ascii="仿宋" w:hAnsi="仿宋" w:eastAsia="仿宋" w:cs="仿宋"/>
          <w:lang w:val="en-US" w:eastAsia="zh-CN"/>
        </w:rPr>
      </w:pPr>
      <w:r>
        <w:rPr>
          <w:rFonts w:hint="eastAsia" w:ascii="仿宋" w:hAnsi="仿宋" w:eastAsia="仿宋" w:cs="仿宋"/>
          <w:lang w:val="en-US" w:eastAsia="zh-CN"/>
        </w:rPr>
        <w:t xml:space="preserve">   昆明市呈贡区城市管理局  </w:t>
      </w:r>
    </w:p>
    <w:p>
      <w:pPr>
        <w:keepNext w:val="0"/>
        <w:keepLines w:val="0"/>
        <w:pageBreakBefore w:val="0"/>
        <w:widowControl w:val="0"/>
        <w:kinsoku/>
        <w:wordWrap/>
        <w:overflowPunct/>
        <w:autoSpaceDE/>
        <w:autoSpaceDN/>
        <w:bidi w:val="0"/>
        <w:adjustRightInd/>
        <w:spacing w:line="580" w:lineRule="exact"/>
        <w:ind w:firstLine="594" w:firstLineChars="200"/>
        <w:jc w:val="center"/>
        <w:textAlignment w:val="auto"/>
        <w:rPr>
          <w:rFonts w:hint="eastAsia" w:ascii="仿宋" w:hAnsi="仿宋" w:eastAsia="仿宋" w:cs="仿宋"/>
          <w:lang w:val="en-US" w:eastAsia="zh-CN"/>
        </w:rPr>
      </w:pPr>
      <w:r>
        <w:rPr>
          <w:rFonts w:hint="eastAsia" w:ascii="仿宋" w:hAnsi="仿宋" w:eastAsia="仿宋" w:cs="仿宋"/>
          <w:lang w:val="en-US" w:eastAsia="zh-CN"/>
        </w:rPr>
        <w:t xml:space="preserve">                           2021年3月29日</w:t>
      </w:r>
    </w:p>
    <w:sectPr>
      <w:pgSz w:w="11906" w:h="16838"/>
      <w:pgMar w:top="2268" w:right="1701" w:bottom="2268" w:left="1701" w:header="851" w:footer="992" w:gutter="0"/>
      <w:cols w:space="0" w:num="1"/>
      <w:rtlGutter w:val="0"/>
      <w:docGrid w:type="linesAndChars" w:linePitch="608" w:charSpace="-47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singleLevel"/>
    <w:tmpl w:val="0000000B"/>
    <w:lvl w:ilvl="0" w:tentative="0">
      <w:start w:val="2"/>
      <w:numFmt w:val="chineseCounting"/>
      <w:suff w:val="nothing"/>
      <w:lvlText w:val="（%1）"/>
      <w:lvlJc w:val="left"/>
    </w:lvl>
  </w:abstractNum>
  <w:abstractNum w:abstractNumId="1">
    <w:nsid w:val="0000000C"/>
    <w:multiLevelType w:val="singleLevel"/>
    <w:tmpl w:val="0000000C"/>
    <w:lvl w:ilvl="0" w:tentative="0">
      <w:start w:val="5"/>
      <w:numFmt w:val="chineseCounting"/>
      <w:suff w:val="nothing"/>
      <w:lvlText w:val="%1、"/>
      <w:lvlJc w:val="left"/>
    </w:lvl>
  </w:abstractNum>
  <w:abstractNum w:abstractNumId="2">
    <w:nsid w:val="6E8BC0D8"/>
    <w:multiLevelType w:val="singleLevel"/>
    <w:tmpl w:val="6E8BC0D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8"/>
  <w:drawingGridVerticalSpacing w:val="30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B48E8"/>
    <w:rsid w:val="013204BE"/>
    <w:rsid w:val="02441992"/>
    <w:rsid w:val="0A780FC1"/>
    <w:rsid w:val="0F904BA8"/>
    <w:rsid w:val="1338018C"/>
    <w:rsid w:val="139F3B89"/>
    <w:rsid w:val="1A055A28"/>
    <w:rsid w:val="284E544B"/>
    <w:rsid w:val="299F4117"/>
    <w:rsid w:val="2B290814"/>
    <w:rsid w:val="2FE65771"/>
    <w:rsid w:val="30240B8C"/>
    <w:rsid w:val="319A3D71"/>
    <w:rsid w:val="3DFE17DA"/>
    <w:rsid w:val="40B2169B"/>
    <w:rsid w:val="411B32C9"/>
    <w:rsid w:val="512C471A"/>
    <w:rsid w:val="5515462E"/>
    <w:rsid w:val="63EE79B6"/>
    <w:rsid w:val="66213691"/>
    <w:rsid w:val="6BDB7DE6"/>
    <w:rsid w:val="6DBE2E6B"/>
    <w:rsid w:val="709B5233"/>
    <w:rsid w:val="70B9601A"/>
    <w:rsid w:val="72E70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jyjcg</dc:creator>
  <cp:lastModifiedBy>跳夏威夷呼啦舞的塔噜啦</cp:lastModifiedBy>
  <dcterms:modified xsi:type="dcterms:W3CDTF">2022-03-21T06:23:09Z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6DDD2A50E75648DC8A2B570B08FD9541</vt:lpwstr>
  </property>
</Properties>
</file>