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昆明市呈贡区自然资源局</w:t>
      </w: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项目支出绩效报告（自评）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（一）《呈贡区国土空间规划（分区规划）》是细化和落实上级国土空间规划要求，并对本行政区域开发保护作出具体安排的法定性规划，是详细规划的依据、相关专项规划的基础。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性质为专项技术服务类，主要用途包括形成基期用地底数底图、国土空间开发保护现状分析与风险评估、开展三区三线划定等重大问题研究、编制国土空间总体规划（分区规划）成果、开展国土空间基础信息库建设等。成果内容构成包括现状1张底图、8个专题研究、1套总报告（文本、图纸、说明书）和1套数据库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（二）根据前期工作安排和国家省市关于国土空间规划编制的进度部署，目前《呈贡区国土空间规划（分区规划）》已完成1张底图和8个专题研究工作，正在组织1套总报告和1套数据库的编制工作。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topLinePunct/>
        <w:ind w:firstLine="594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根据《昆明市呈贡区人民政府关于拨付呈贡区图空间总体规划（分区规划）（2</w:t>
      </w:r>
      <w:r>
        <w:rPr>
          <w:rFonts w:ascii="仿宋_GB2312" w:hAnsi="仿宋_GB2312" w:cs="仿宋_GB2312"/>
          <w:szCs w:val="32"/>
        </w:rPr>
        <w:t>020-2035</w:t>
      </w:r>
      <w:r>
        <w:rPr>
          <w:rFonts w:hint="eastAsia" w:ascii="仿宋_GB2312" w:hAnsi="仿宋_GB2312" w:cs="仿宋_GB2312"/>
          <w:szCs w:val="32"/>
        </w:rPr>
        <w:t>年）编制经费的批复》，安排呈贡区国土空间规划（分区规划）编制经费8</w:t>
      </w:r>
      <w:r>
        <w:rPr>
          <w:rFonts w:ascii="仿宋_GB2312" w:hAnsi="仿宋_GB2312" w:cs="仿宋_GB2312"/>
          <w:szCs w:val="32"/>
        </w:rPr>
        <w:t>00</w:t>
      </w:r>
      <w:r>
        <w:rPr>
          <w:rFonts w:hint="eastAsia" w:ascii="仿宋_GB2312" w:hAnsi="仿宋_GB2312" w:cs="仿宋_GB2312"/>
          <w:szCs w:val="32"/>
        </w:rPr>
        <w:t>万元。2</w:t>
      </w:r>
      <w:r>
        <w:rPr>
          <w:rFonts w:ascii="仿宋_GB2312" w:hAnsi="仿宋_GB2312" w:cs="仿宋_GB2312"/>
          <w:szCs w:val="32"/>
        </w:rPr>
        <w:t>021</w:t>
      </w:r>
      <w:r>
        <w:rPr>
          <w:rFonts w:hint="eastAsia" w:ascii="仿宋_GB2312" w:hAnsi="仿宋_GB2312" w:cs="仿宋_GB2312"/>
          <w:szCs w:val="32"/>
        </w:rPr>
        <w:t>年6月完成招投标，确定中标金额为7</w:t>
      </w:r>
      <w:r>
        <w:rPr>
          <w:rFonts w:ascii="仿宋_GB2312" w:hAnsi="仿宋_GB2312" w:cs="仿宋_GB2312"/>
          <w:szCs w:val="32"/>
        </w:rPr>
        <w:t>30</w:t>
      </w:r>
      <w:r>
        <w:rPr>
          <w:rFonts w:hint="eastAsia" w:ascii="仿宋_GB2312" w:hAnsi="仿宋_GB2312" w:cs="仿宋_GB2312"/>
          <w:szCs w:val="32"/>
        </w:rPr>
        <w:t>万元，根据合同约定，合同签订后1</w:t>
      </w:r>
      <w:r>
        <w:rPr>
          <w:rFonts w:ascii="仿宋_GB2312" w:hAnsi="仿宋_GB2312" w:cs="仿宋_GB2312"/>
          <w:szCs w:val="32"/>
        </w:rPr>
        <w:t>0</w:t>
      </w:r>
      <w:r>
        <w:rPr>
          <w:rFonts w:hint="eastAsia" w:ascii="仿宋_GB2312" w:hAnsi="仿宋_GB2312" w:cs="仿宋_GB2312"/>
          <w:szCs w:val="32"/>
        </w:rPr>
        <w:t>个工作日内支付合同额的</w:t>
      </w:r>
      <w:r>
        <w:rPr>
          <w:rFonts w:ascii="仿宋_GB2312" w:hAnsi="仿宋_GB2312" w:cs="仿宋_GB2312"/>
          <w:szCs w:val="32"/>
        </w:rPr>
        <w:t>40</w:t>
      </w:r>
      <w:r>
        <w:rPr>
          <w:rFonts w:hint="eastAsia" w:ascii="仿宋_GB2312" w:hAnsi="仿宋_GB2312" w:cs="仿宋_GB2312"/>
          <w:szCs w:val="32"/>
        </w:rPr>
        <w:t>%，成果通过专家评审后支付</w:t>
      </w:r>
      <w:r>
        <w:rPr>
          <w:rFonts w:ascii="仿宋_GB2312" w:hAnsi="仿宋_GB2312" w:cs="仿宋_GB2312"/>
          <w:szCs w:val="32"/>
        </w:rPr>
        <w:t>30</w:t>
      </w:r>
      <w:r>
        <w:rPr>
          <w:rFonts w:hint="eastAsia" w:ascii="仿宋_GB2312" w:hAnsi="仿宋_GB2312" w:cs="仿宋_GB2312"/>
          <w:szCs w:val="32"/>
        </w:rPr>
        <w:t>%，成果由通过市/区相关会议审议后支付3</w:t>
      </w:r>
      <w:r>
        <w:rPr>
          <w:rFonts w:ascii="仿宋_GB2312" w:hAnsi="仿宋_GB2312" w:cs="仿宋_GB2312"/>
          <w:szCs w:val="32"/>
        </w:rPr>
        <w:t>0</w:t>
      </w:r>
      <w:r>
        <w:rPr>
          <w:rFonts w:hint="eastAsia" w:ascii="仿宋_GB2312" w:hAnsi="仿宋_GB2312" w:cs="仿宋_GB2312"/>
          <w:szCs w:val="32"/>
        </w:rPr>
        <w:t>%。目前按合同约定已支付合同额的4</w:t>
      </w:r>
      <w:r>
        <w:rPr>
          <w:rFonts w:ascii="仿宋_GB2312" w:hAnsi="仿宋_GB2312" w:cs="仿宋_GB2312"/>
          <w:szCs w:val="32"/>
        </w:rPr>
        <w:t>0</w:t>
      </w:r>
      <w:r>
        <w:rPr>
          <w:rFonts w:hint="eastAsia" w:ascii="仿宋_GB2312" w:hAnsi="仿宋_GB2312" w:cs="仿宋_GB2312"/>
          <w:szCs w:val="32"/>
        </w:rPr>
        <w:t>%，即2</w:t>
      </w:r>
      <w:r>
        <w:rPr>
          <w:rFonts w:ascii="仿宋_GB2312" w:hAnsi="仿宋_GB2312" w:cs="仿宋_GB2312"/>
          <w:szCs w:val="32"/>
        </w:rPr>
        <w:t>92</w:t>
      </w:r>
      <w:r>
        <w:rPr>
          <w:rFonts w:hint="eastAsia" w:ascii="仿宋_GB2312" w:hAnsi="仿宋_GB2312" w:cs="仿宋_GB2312"/>
          <w:szCs w:val="32"/>
        </w:rPr>
        <w:t>万元，后续按相关合同要求和相关程序支付编制费用。</w:t>
      </w:r>
    </w:p>
    <w:p>
      <w:pPr>
        <w:topLinePunct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为加强资金管理，在签订项目合同时即进行充分研究，参考省市区国土空间规划编制进程和相关要求，明确各阶段审查要求和资金设置，具体的资金使用安排按照项目合同进行，确保项目资金有效管理。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topLinePunct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项目于2</w:t>
      </w:r>
      <w:r>
        <w:rPr>
          <w:rFonts w:ascii="仿宋_GB2312" w:hAnsi="仿宋_GB2312" w:cs="仿宋_GB2312"/>
          <w:szCs w:val="32"/>
        </w:rPr>
        <w:t>021</w:t>
      </w:r>
      <w:r>
        <w:rPr>
          <w:rFonts w:hint="eastAsia" w:ascii="仿宋_GB2312" w:hAnsi="仿宋_GB2312" w:cs="仿宋_GB2312"/>
          <w:szCs w:val="32"/>
        </w:rPr>
        <w:t>年4月由呈贡区自然资源局按程序进行申请，4月1</w:t>
      </w:r>
      <w:r>
        <w:rPr>
          <w:rFonts w:ascii="仿宋_GB2312" w:hAnsi="仿宋_GB2312" w:cs="仿宋_GB2312"/>
          <w:szCs w:val="32"/>
        </w:rPr>
        <w:t>3</w:t>
      </w:r>
      <w:r>
        <w:rPr>
          <w:rFonts w:hint="eastAsia" w:ascii="仿宋_GB2312" w:hAnsi="仿宋_GB2312" w:cs="仿宋_GB2312"/>
          <w:szCs w:val="32"/>
        </w:rPr>
        <w:t>日经区政府第1</w:t>
      </w:r>
      <w:r>
        <w:rPr>
          <w:rFonts w:ascii="仿宋_GB2312" w:hAnsi="仿宋_GB2312" w:cs="仿宋_GB2312"/>
          <w:szCs w:val="32"/>
        </w:rPr>
        <w:t>74</w:t>
      </w:r>
      <w:r>
        <w:rPr>
          <w:rFonts w:hint="eastAsia" w:ascii="仿宋_GB2312" w:hAnsi="仿宋_GB2312" w:cs="仿宋_GB2312"/>
          <w:szCs w:val="32"/>
        </w:rPr>
        <w:t>次常务会议研究，同意启动规划编制工作，同意从2</w:t>
      </w:r>
      <w:r>
        <w:rPr>
          <w:rFonts w:ascii="仿宋_GB2312" w:hAnsi="仿宋_GB2312" w:cs="仿宋_GB2312"/>
          <w:szCs w:val="32"/>
        </w:rPr>
        <w:t>021</w:t>
      </w:r>
      <w:r>
        <w:rPr>
          <w:rFonts w:hint="eastAsia" w:ascii="仿宋_GB2312" w:hAnsi="仿宋_GB2312" w:cs="仿宋_GB2312"/>
          <w:szCs w:val="32"/>
        </w:rPr>
        <w:t>年预算稳定调节基金中安排规划编制经费，6月通过公开招投标确定规划编制单位，7</w:t>
      </w:r>
      <w:r>
        <w:rPr>
          <w:rFonts w:ascii="仿宋_GB2312" w:hAnsi="仿宋_GB2312" w:cs="仿宋_GB2312"/>
          <w:szCs w:val="32"/>
        </w:rPr>
        <w:t>-8</w:t>
      </w:r>
      <w:r>
        <w:rPr>
          <w:rFonts w:hint="eastAsia" w:ascii="仿宋_GB2312" w:hAnsi="仿宋_GB2312" w:cs="仿宋_GB2312"/>
          <w:szCs w:val="32"/>
        </w:rPr>
        <w:t>月开展资料收集工作，实质性推进规划成果编制，8月成立规划编制领导小组系统领导规划编制工作，12月召开专题成果咨询会，形成初步讨论内容。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目前正结合呈贡区实际和省市关于</w:t>
      </w:r>
      <w:r>
        <w:rPr>
          <w:rFonts w:hint="eastAsia" w:ascii="仿宋_GB2312"/>
          <w:szCs w:val="32"/>
        </w:rPr>
        <w:t>国土空间规划编制的进度安排，稳步开展规划编制工作，确保项目有序推进。</w:t>
      </w:r>
    </w:p>
    <w:p>
      <w:pPr>
        <w:topLinePunct/>
        <w:ind w:firstLine="594" w:firstLineChars="200"/>
        <w:rPr>
          <w:rFonts w:ascii="仿宋_GB2312"/>
          <w:szCs w:val="32"/>
          <w:highlight w:val="yellow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（四）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（一）根据《呈贡区国土空间规划工作方案》，目前呈贡区国土空间规划的编制范围为呈贡区实际管辖范围（不含托管的大渔街道、马金铺街道、洛羊街道、七甸街道），按照《中共云南省委 云南省人民政府关于建立全省国土空间规划体系并监督实施的意见》要求，州（市）政府所在地的市（区）国土空间总体规划按程序报省政府审批，需按照全域覆盖的原则，对所有国土空间用途进行统一管制。呈贡区作为昆明市政府所在地，呈贡区国土空间规划需按照全域范围（含托管区）上报省政府审批，后续需将整合各托管区域形成最终成果，经初步了解，目前托管4个片区尚不明确是否开展国土空间规划编制工作，导致规划成果无法紧密衔接，难以形成统一成果上报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（二）后续结合省市关于国土空间规划编制的进度安排，稳步开展规划编制工作，确保项目有序推进。协调并整合4个托管街道规划成果上报。</w:t>
      </w:r>
    </w:p>
    <w:p/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FF"/>
    <w:rsid w:val="001A5CA2"/>
    <w:rsid w:val="0038498A"/>
    <w:rsid w:val="00432019"/>
    <w:rsid w:val="004B2337"/>
    <w:rsid w:val="005E48FF"/>
    <w:rsid w:val="00710A1D"/>
    <w:rsid w:val="008D5F45"/>
    <w:rsid w:val="00F006CF"/>
    <w:rsid w:val="05AE36CA"/>
    <w:rsid w:val="086C5D3C"/>
    <w:rsid w:val="378A5996"/>
    <w:rsid w:val="5A3C6978"/>
    <w:rsid w:val="67600811"/>
    <w:rsid w:val="6815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250</Words>
  <Characters>1426</Characters>
  <Lines>11</Lines>
  <Paragraphs>3</Paragraphs>
  <TotalTime>0</TotalTime>
  <ScaleCrop>false</ScaleCrop>
  <LinksUpToDate>false</LinksUpToDate>
  <CharactersWithSpaces>1673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2022-09-29T08:00:15Z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