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农村公路安全隐患整治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94" w:firstLineChars="200"/>
        <w:jc w:val="both"/>
        <w:textAlignment w:val="auto"/>
        <w:outlineLvl w:val="9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2021年，我局开展的农村公路安全隐患整治项目主要为斗南水塔-抽水站线大修及安全隐患治理、农村公路平交路口“一灯一带”和支路接入国省道路口“坡改平”治理工程等。主要建设内容：斗南水塔-抽水站线局部路基换填或路面基层、面层修复、路面罩面，沿清水大沟段新建钢波形梁护栏，完善沿线标线标志牌等；新建2套交通信号灯，10个路口减速带安装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94" w:firstLineChars="200"/>
        <w:jc w:val="both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2021年4月23日完成立项批复工作，2021年7月底至8月中旬通过公开招标确定施工单位为云南傲旋建设工程有限公司，施工单位于2021年11月进场施工，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于2021年12月31日全面完工。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绩效目标设定：完成斗</w:t>
      </w:r>
      <w:r>
        <w:rPr>
          <w:rFonts w:hint="eastAsia" w:ascii="仿宋_GB2312"/>
          <w:szCs w:val="32"/>
          <w:lang w:val="en-US" w:eastAsia="zh-CN"/>
        </w:rPr>
        <w:t>南水塔-抽水站线大修及安全隐患治理、农村公路平交路口“一灯一带”和支路接入国省道路口“坡改平”治理工程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指标完成情况：已按时完成。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/>
          <w:szCs w:val="32"/>
          <w:lang w:val="en-US" w:eastAsia="zh-CN"/>
        </w:rPr>
        <w:t>2021年农村公路安全隐患整治项目年初预算272.997万元，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年末调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减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预算资金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为118.640536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实际预算数为154.356464万元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调减原因为建设项目尾款需项目审计后跨年度支付，余下资金由区财政收回下年度再申报预算。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2021年农村公路安全隐患整治</w:t>
      </w:r>
      <w:r>
        <w:rPr>
          <w:rFonts w:hint="eastAsia" w:ascii="仿宋_GB2312" w:hAnsi="仿宋_GB2312" w:cs="仿宋_GB2312"/>
          <w:lang w:val="en-US" w:eastAsia="zh-CN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于12月31日全面完成，按照合同约定，支付招标代理、造价咨询、施工图设计、施工单位、施工监理等费用154.356464万元</w:t>
      </w:r>
      <w:r>
        <w:rPr>
          <w:rFonts w:hint="eastAsia" w:ascii="仿宋_GB2312" w:hAnsi="仿宋_GB2312" w:cs="仿宋_GB2312"/>
          <w:lang w:val="en-US" w:eastAsia="zh-CN"/>
        </w:rPr>
        <w:t>，已将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实际预算资金全额支付，支出率100%。因项目尾款待审计后才能支付，需跨2022年度支付，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及时对2021年余下资金进行了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调减，由区财政将余下资金收回下年度再申报预算。我局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严格按照《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昆明市呈贡区交通运输局财务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管理制度》执行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该项目经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费的管理和使用，项目资金使用合规，不存在截留、挤占、虚列等违规情况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农村公路安全隐患整治工程于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2021年4月23日完成立项批复工作，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2021年8月9日在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昆明市公共资源交易中心公开招标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确定施工单位为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云南傲旋建设工程有限公司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施工单位于2021年11月进场施工，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于2021年12月31日全面完工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，正在进行工程结算及工程审计前期工作。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rPr>
          <w:rFonts w:ascii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施工中定期到工地现场指导工作，对分项工程的重点、工序的重点部位进行旁站检查，驻守施工现场，质量跟踪把关，及时制止施工中出现的质量问题，本着严格管理、一丝不苟的精神，对有质量问题的工程一律进行返工处理，坚决杜绝不合格的工序转序施工；分部、分项工程检验及竣工验收，我局严格按照合同约定，验收合格后支付工程进度款项。在工程款支付上，我局严格审批手续，现场施工进度、工程量核实后按照合同约定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方可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拨付工程款。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经济性：</w:t>
      </w:r>
      <w:r>
        <w:rPr>
          <w:rFonts w:hint="eastAsia" w:ascii="仿宋_GB2312"/>
          <w:szCs w:val="32"/>
          <w:lang w:val="en-US" w:eastAsia="zh-CN"/>
        </w:rPr>
        <w:t>农村公路安全隐患整治工程（斗南水塔-抽水站线大修及安全隐患治理、农村公路平交路口“一灯一带”和支路接入国省道路口“坡改平”治理工程），通过中介超市抽取、比选、公开招标等方式确定了工程设计、造价咨询服务、施工招标代理服务、施工、施工监理等单位，合同价总价为296.435994万元，现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正在进行工程结算。目前，已支付</w:t>
      </w:r>
      <w:r>
        <w:rPr>
          <w:rFonts w:hint="eastAsia" w:ascii="仿宋_GB2312" w:hAnsi="仿宋_GB2312" w:eastAsia="仿宋_GB2312" w:cs="仿宋_GB2312"/>
          <w:lang w:val="en-US" w:eastAsia="zh-CN"/>
        </w:rPr>
        <w:t>招标代理、造价咨询、施工图设计、施工单位、施工监理等费用154.356464万元</w:t>
      </w:r>
      <w:r>
        <w:rPr>
          <w:rFonts w:hint="eastAsia" w:ascii="仿宋_GB2312" w:hAnsi="仿宋_GB2312" w:cs="仿宋_GB2312"/>
          <w:lang w:val="en-US" w:eastAsia="zh-CN"/>
        </w:rPr>
        <w:t>，余下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工程尾款待结算审计完成后支付。</w:t>
      </w:r>
      <w:r>
        <w:rPr>
          <w:rFonts w:hint="eastAsia" w:ascii="仿宋_GB2312" w:hAnsi="Calibri" w:cs="仿宋_GB2312"/>
          <w:b/>
          <w:bCs/>
          <w:kern w:val="2"/>
          <w:sz w:val="32"/>
          <w:szCs w:val="32"/>
          <w:lang w:val="en-US" w:eastAsia="zh-CN" w:bidi="ar"/>
        </w:rPr>
        <w:t>效率性：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已在时限内完成安全隐患治理。有效性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消除三铝线、缪阳线、沿河路等农村公路安全隐患，使呈贡区农村公路交通安全系数等到进一步提升。</w:t>
      </w: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可持续性：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农村公路安全设施管理需要长久为功，在今后的农村公路管理中，要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推进农村公路常态化巡查，实时掌握各条农村公路运行情况，做到交通隐患及时被发现、及时被消除。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91CB9"/>
    <w:multiLevelType w:val="singleLevel"/>
    <w:tmpl w:val="91A91C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062F49"/>
    <w:multiLevelType w:val="singleLevel"/>
    <w:tmpl w:val="01062F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1D41B62"/>
    <w:rsid w:val="18956BD8"/>
    <w:rsid w:val="1A6B4094"/>
    <w:rsid w:val="263C4B36"/>
    <w:rsid w:val="28E86EA3"/>
    <w:rsid w:val="2ABB4B7B"/>
    <w:rsid w:val="2E0D0D7E"/>
    <w:rsid w:val="32E70EBF"/>
    <w:rsid w:val="36C16230"/>
    <w:rsid w:val="3765796B"/>
    <w:rsid w:val="378A5996"/>
    <w:rsid w:val="3BD470C9"/>
    <w:rsid w:val="44E64193"/>
    <w:rsid w:val="46EE37D3"/>
    <w:rsid w:val="4FF05926"/>
    <w:rsid w:val="51206E52"/>
    <w:rsid w:val="5A3C6978"/>
    <w:rsid w:val="5C8B168C"/>
    <w:rsid w:val="5E96232F"/>
    <w:rsid w:val="67600811"/>
    <w:rsid w:val="677F4B62"/>
    <w:rsid w:val="69BA15C7"/>
    <w:rsid w:val="7DD221BC"/>
    <w:rsid w:val="7EF26CB5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line="24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kern w:val="0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仰望1403521827</cp:lastModifiedBy>
  <dcterms:modified xsi:type="dcterms:W3CDTF">2022-03-09T02:34:03Z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944259499AA9439BAEC7CB21021EC9CC</vt:lpwstr>
  </property>
</Properties>
</file>