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方正小标宋_GBK" w:eastAsia="方正小标宋_GBK"/>
          <w:sz w:val="36"/>
          <w:szCs w:val="36"/>
          <w:lang w:val="en-US" w:eastAsia="zh-CN"/>
        </w:rPr>
      </w:pPr>
      <w:r>
        <w:rPr>
          <w:rFonts w:hint="eastAsia" w:ascii="方正小标宋_GBK" w:eastAsia="方正小标宋_GBK"/>
          <w:sz w:val="36"/>
          <w:szCs w:val="36"/>
          <w:lang w:val="en-US" w:eastAsia="zh-CN"/>
        </w:rPr>
        <w:t>“美丽公路”及南连接线呈贡段项目租地及管养</w:t>
      </w:r>
    </w:p>
    <w:p>
      <w:pPr>
        <w:keepNext w:val="0"/>
        <w:keepLines w:val="0"/>
        <w:pageBreakBefore w:val="0"/>
        <w:widowControl w:val="0"/>
        <w:kinsoku/>
        <w:wordWrap/>
        <w:overflowPunct/>
        <w:autoSpaceDE/>
        <w:autoSpaceDN/>
        <w:bidi w:val="0"/>
        <w:adjustRightInd/>
        <w:snapToGrid/>
        <w:spacing w:line="560" w:lineRule="exact"/>
        <w:jc w:val="center"/>
        <w:textAlignment w:val="auto"/>
        <w:rPr>
          <w:rFonts w:ascii="方正小标宋_GBK" w:eastAsia="方正小标宋_GBK"/>
          <w:sz w:val="36"/>
          <w:szCs w:val="36"/>
        </w:rPr>
      </w:pPr>
      <w:r>
        <w:rPr>
          <w:rFonts w:hint="eastAsia" w:ascii="方正小标宋_GBK" w:eastAsia="方正小标宋_GBK"/>
          <w:sz w:val="36"/>
          <w:szCs w:val="36"/>
        </w:rPr>
        <w:t>支出绩效报告</w:t>
      </w:r>
      <w:r>
        <w:rPr>
          <w:rFonts w:hint="eastAsia" w:ascii="方正小标宋_GBK" w:eastAsia="方正小标宋_GBK"/>
          <w:sz w:val="36"/>
          <w:szCs w:val="36"/>
          <w:lang w:eastAsia="zh-CN"/>
        </w:rPr>
        <w:t>（自评）</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594" w:firstLineChars="200"/>
        <w:jc w:val="both"/>
        <w:textAlignment w:val="auto"/>
        <w:outlineLvl w:val="9"/>
        <w:rPr>
          <w:rFonts w:ascii="仿宋_GB2312"/>
          <w:szCs w:val="32"/>
        </w:rPr>
      </w:pPr>
      <w:r>
        <w:rPr>
          <w:rFonts w:hint="eastAsia" w:ascii="仿宋_GB2312" w:hAnsi="仿宋_GB2312" w:eastAsia="仿宋_GB2312" w:cs="仿宋_GB2312"/>
          <w:color w:val="auto"/>
          <w:sz w:val="32"/>
          <w:szCs w:val="32"/>
          <w:lang w:val="en-US" w:eastAsia="zh-CN"/>
        </w:rPr>
        <w:t>按照《昆明市“四环十七射”道路两侧控制区环境综合治理及路（段）长责任制绿化美化工程》实施指导意见、《昆明至景洪至磨憨昆明段、昆明至大理至丽江高速公路昆明段路域环境绿化美化工程组织实施方案的通知》、《昆明市市容环境整治提升行动方案（2019-2020年）》等文件精神及呈贡区政府工作要求，我局</w:t>
      </w:r>
      <w:r>
        <w:rPr>
          <w:rFonts w:hint="eastAsia" w:ascii="仿宋_GB2312" w:hAnsi="仿宋_GB2312" w:cs="仿宋_GB2312"/>
          <w:color w:val="auto"/>
          <w:sz w:val="32"/>
          <w:szCs w:val="32"/>
          <w:lang w:val="en-US" w:eastAsia="zh-CN"/>
        </w:rPr>
        <w:t>于2019-2020年组织开展了呈贡区</w:t>
      </w:r>
      <w:r>
        <w:rPr>
          <w:rFonts w:hint="eastAsia" w:ascii="仿宋_GB2312" w:hAnsi="仿宋_GB2312" w:eastAsia="仿宋_GB2312" w:cs="仿宋_GB2312"/>
          <w:sz w:val="32"/>
          <w:szCs w:val="32"/>
          <w:lang w:val="en-US" w:eastAsia="zh-CN"/>
        </w:rPr>
        <w:t>“美丽公路”及南连接线呈贡段</w:t>
      </w:r>
      <w:r>
        <w:rPr>
          <w:rFonts w:hint="eastAsia" w:ascii="仿宋_GB2312" w:hAnsi="仿宋_GB2312" w:cs="仿宋_GB2312"/>
          <w:sz w:val="32"/>
          <w:szCs w:val="32"/>
          <w:lang w:val="en-US" w:eastAsia="zh-CN"/>
        </w:rPr>
        <w:t>绿化提升改造工程。</w:t>
      </w:r>
      <w:r>
        <w:rPr>
          <w:rFonts w:hint="eastAsia" w:ascii="仿宋_GB2312" w:hAnsi="仿宋_GB2312" w:eastAsia="仿宋_GB2312" w:cs="仿宋_GB2312"/>
          <w:color w:val="auto"/>
          <w:sz w:val="32"/>
          <w:szCs w:val="32"/>
          <w:lang w:val="en-US" w:eastAsia="zh-CN"/>
        </w:rPr>
        <w:t>为顺利推进此项工作，我局积极与涉及街道协调对接绿化用地租赁事宜，经双方协商，</w:t>
      </w:r>
      <w:r>
        <w:rPr>
          <w:rFonts w:hint="eastAsia" w:ascii="仿宋_GB2312" w:hAnsi="仿宋_GB2312" w:eastAsia="仿宋_GB2312" w:cs="仿宋_GB2312"/>
          <w:color w:val="auto"/>
          <w:sz w:val="32"/>
          <w:szCs w:val="32"/>
          <w:lang w:val="en-US" w:eastAsia="zh-CN"/>
        </w:rPr>
        <w:t>先后与龙城街道办事处、雨花街道办事处下庄社区居委会</w:t>
      </w:r>
      <w:r>
        <w:rPr>
          <w:rFonts w:hint="eastAsia" w:ascii="仿宋_GB2312" w:hAnsi="仿宋_GB2312" w:cs="仿宋_GB2312"/>
          <w:color w:val="auto"/>
          <w:sz w:val="32"/>
          <w:szCs w:val="32"/>
          <w:lang w:val="en-US" w:eastAsia="zh-CN"/>
        </w:rPr>
        <w:t>、吴</w:t>
      </w:r>
      <w:r>
        <w:rPr>
          <w:rFonts w:hint="eastAsia" w:ascii="仿宋_GB2312" w:hAnsi="仿宋_GB2312" w:eastAsia="仿宋_GB2312" w:cs="仿宋_GB2312"/>
          <w:color w:val="auto"/>
          <w:sz w:val="32"/>
          <w:szCs w:val="32"/>
          <w:lang w:val="en-US" w:eastAsia="zh-CN"/>
        </w:rPr>
        <w:t>家营街道缪家营社区</w:t>
      </w:r>
      <w:r>
        <w:rPr>
          <w:rFonts w:hint="eastAsia" w:ascii="仿宋_GB2312" w:hAnsi="仿宋_GB2312" w:cs="仿宋_GB2312"/>
          <w:color w:val="auto"/>
          <w:sz w:val="32"/>
          <w:szCs w:val="32"/>
          <w:lang w:val="en-US" w:eastAsia="zh-CN"/>
        </w:rPr>
        <w:t>等</w:t>
      </w:r>
      <w:r>
        <w:rPr>
          <w:rFonts w:hint="eastAsia" w:ascii="仿宋_GB2312" w:hAnsi="仿宋_GB2312" w:eastAsia="仿宋_GB2312" w:cs="仿宋_GB2312"/>
          <w:color w:val="auto"/>
          <w:sz w:val="32"/>
          <w:szCs w:val="32"/>
          <w:lang w:val="en-US" w:eastAsia="zh-CN"/>
        </w:rPr>
        <w:t>签订绿化用地土地租赁合同，租赁合同均为两年一签，租金支付采取一年一次的方式支付。</w:t>
      </w:r>
      <w:r>
        <w:rPr>
          <w:rFonts w:hint="eastAsia" w:ascii="仿宋_GB2312"/>
          <w:szCs w:val="32"/>
          <w:lang w:val="en-US" w:eastAsia="zh-CN"/>
        </w:rPr>
        <w:t>2021年，我局开展的</w:t>
      </w:r>
      <w:r>
        <w:rPr>
          <w:rFonts w:hint="eastAsia" w:ascii="仿宋_GB2312" w:hAnsi="仿宋_GB2312" w:eastAsia="仿宋_GB2312" w:cs="仿宋_GB2312"/>
          <w:sz w:val="32"/>
          <w:szCs w:val="32"/>
          <w:lang w:val="en-US" w:eastAsia="zh-CN"/>
        </w:rPr>
        <w:t>“美丽公路”及南连接线呈贡段项目租地及管养</w:t>
      </w:r>
      <w:r>
        <w:rPr>
          <w:rFonts w:hint="eastAsia" w:ascii="仿宋_GB2312"/>
          <w:szCs w:val="32"/>
          <w:lang w:val="en-US" w:eastAsia="zh-CN"/>
        </w:rPr>
        <w:t>主要为</w:t>
      </w:r>
      <w:r>
        <w:rPr>
          <w:rFonts w:hint="eastAsia" w:ascii="仿宋_GB2312" w:hAnsi="仿宋_GB2312" w:eastAsia="仿宋_GB2312" w:cs="仿宋_GB2312"/>
          <w:color w:val="auto"/>
          <w:sz w:val="32"/>
          <w:szCs w:val="32"/>
          <w:lang w:val="en-US" w:eastAsia="zh-CN"/>
        </w:rPr>
        <w:t>昆玉高速、南绕城高速呈贡段、南连接线呈贡段沿线</w:t>
      </w:r>
      <w:r>
        <w:rPr>
          <w:rFonts w:hint="eastAsia" w:ascii="仿宋_GB2312" w:hAnsi="仿宋_GB2312" w:eastAsia="仿宋_GB2312" w:cs="仿宋_GB2312"/>
          <w:color w:val="000000"/>
          <w:kern w:val="0"/>
          <w:sz w:val="32"/>
          <w:szCs w:val="32"/>
          <w:lang w:val="en-US" w:eastAsia="zh-CN" w:bidi="ar"/>
        </w:rPr>
        <w:t>绿化</w:t>
      </w:r>
      <w:r>
        <w:rPr>
          <w:rFonts w:hint="eastAsia" w:ascii="仿宋_GB2312" w:hAnsi="仿宋_GB2312" w:cs="仿宋_GB2312"/>
          <w:color w:val="000000"/>
          <w:kern w:val="0"/>
          <w:sz w:val="32"/>
          <w:szCs w:val="32"/>
          <w:lang w:val="en-US" w:eastAsia="zh-CN" w:bidi="ar"/>
        </w:rPr>
        <w:t>涉及的用土及绿化管养工作，管养工作主要为</w:t>
      </w:r>
      <w:r>
        <w:rPr>
          <w:rFonts w:hint="eastAsia" w:ascii="仿宋_GB2312" w:hAnsi="仿宋_GB2312" w:eastAsia="仿宋_GB2312" w:cs="仿宋_GB2312"/>
          <w:color w:val="000000"/>
          <w:kern w:val="0"/>
          <w:sz w:val="32"/>
          <w:szCs w:val="32"/>
          <w:lang w:val="en-US" w:eastAsia="zh-CN" w:bidi="ar"/>
        </w:rPr>
        <w:t>病苗、死苗、缺塘等排查，</w:t>
      </w:r>
      <w:r>
        <w:rPr>
          <w:rFonts w:hint="eastAsia" w:ascii="仿宋_GB2312" w:hAnsi="仿宋_GB2312" w:cs="仿宋_GB2312"/>
          <w:color w:val="000000"/>
          <w:kern w:val="0"/>
          <w:sz w:val="32"/>
          <w:szCs w:val="32"/>
          <w:lang w:val="en-US" w:eastAsia="zh-CN" w:bidi="ar"/>
        </w:rPr>
        <w:t>开展</w:t>
      </w:r>
      <w:r>
        <w:rPr>
          <w:rFonts w:hint="eastAsia" w:ascii="仿宋_GB2312" w:hAnsi="仿宋_GB2312" w:eastAsia="仿宋_GB2312" w:cs="仿宋_GB2312"/>
          <w:color w:val="000000"/>
          <w:kern w:val="0"/>
          <w:sz w:val="32"/>
          <w:szCs w:val="32"/>
          <w:lang w:val="en-US" w:eastAsia="zh-CN" w:bidi="ar"/>
        </w:rPr>
        <w:t>除草、修枝、松土、浇水</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死树更换</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施肥、除虫等工作。</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绩效目标设定及指标完成情况</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60" w:lineRule="exact"/>
        <w:ind w:right="0" w:rightChars="0" w:firstLine="594" w:firstLineChars="200"/>
        <w:jc w:val="both"/>
        <w:textAlignment w:val="auto"/>
        <w:rPr>
          <w:rFonts w:hint="default" w:ascii="仿宋_GB2312" w:hAnsi="Calibri" w:cs="仿宋_GB2312"/>
          <w:kern w:val="2"/>
          <w:sz w:val="32"/>
          <w:szCs w:val="32"/>
          <w:lang w:val="en-US" w:eastAsia="zh-CN" w:bidi="ar"/>
        </w:rPr>
      </w:pPr>
      <w:r>
        <w:rPr>
          <w:rFonts w:hint="eastAsia" w:ascii="仿宋_GB2312" w:hAnsi="Calibri" w:cs="仿宋_GB2312"/>
          <w:kern w:val="2"/>
          <w:sz w:val="32"/>
          <w:szCs w:val="32"/>
          <w:lang w:val="en-US" w:eastAsia="zh-CN" w:bidi="ar"/>
        </w:rPr>
        <w:t>绩效目标设定：2021年12月31日前完成</w:t>
      </w:r>
      <w:r>
        <w:rPr>
          <w:rFonts w:hint="eastAsia" w:ascii="仿宋_GB2312" w:hAnsi="仿宋_GB2312" w:eastAsia="仿宋_GB2312" w:cs="仿宋_GB2312"/>
          <w:sz w:val="32"/>
          <w:szCs w:val="32"/>
          <w:lang w:val="en-US" w:eastAsia="zh-CN"/>
        </w:rPr>
        <w:t>“美丽公路”及南连接线呈贡段项目租地及管养</w:t>
      </w:r>
      <w:r>
        <w:rPr>
          <w:rFonts w:hint="eastAsia" w:ascii="仿宋_GB2312" w:hAnsi="仿宋_GB2312" w:cs="仿宋_GB2312"/>
          <w:sz w:val="32"/>
          <w:szCs w:val="32"/>
          <w:lang w:val="en-US" w:eastAsia="zh-CN"/>
        </w:rPr>
        <w:t>。</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60" w:lineRule="exact"/>
        <w:ind w:right="0" w:rightChars="0" w:firstLine="594" w:firstLineChars="200"/>
        <w:jc w:val="both"/>
        <w:textAlignment w:val="auto"/>
      </w:pPr>
      <w:r>
        <w:rPr>
          <w:rFonts w:hint="eastAsia" w:ascii="仿宋_GB2312" w:hAnsi="Calibri" w:cs="仿宋_GB2312"/>
          <w:kern w:val="2"/>
          <w:sz w:val="32"/>
          <w:szCs w:val="32"/>
          <w:lang w:val="en-US" w:eastAsia="zh-CN" w:bidi="ar"/>
        </w:rPr>
        <w:t>指标完成情况：已按时完成。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60" w:lineRule="exact"/>
        <w:ind w:left="0" w:right="0" w:firstLine="594" w:firstLineChars="200"/>
        <w:jc w:val="both"/>
        <w:textAlignment w:val="auto"/>
        <w:rPr>
          <w:rFonts w:hint="default" w:ascii="仿宋_GB2312" w:hAnsi="Calibri" w:eastAsia="仿宋_GB2312" w:cs="仿宋_GB2312"/>
          <w:kern w:val="2"/>
          <w:sz w:val="32"/>
          <w:szCs w:val="32"/>
          <w:lang w:val="en-US" w:eastAsia="zh-CN" w:bidi="ar"/>
        </w:rPr>
      </w:pPr>
      <w:r>
        <w:rPr>
          <w:rFonts w:hint="eastAsia" w:ascii="仿宋_GB2312"/>
          <w:szCs w:val="32"/>
          <w:lang w:val="en-US" w:eastAsia="zh-CN"/>
        </w:rPr>
        <w:t>2021年“</w:t>
      </w:r>
      <w:r>
        <w:rPr>
          <w:rFonts w:hint="eastAsia" w:ascii="仿宋_GB2312" w:hAnsi="仿宋_GB2312" w:eastAsia="仿宋_GB2312" w:cs="仿宋_GB2312"/>
          <w:sz w:val="32"/>
          <w:szCs w:val="32"/>
          <w:lang w:val="en-US" w:eastAsia="zh-CN"/>
        </w:rPr>
        <w:t>美丽公路”及南连接线呈贡段项目租地及管养</w:t>
      </w:r>
      <w:r>
        <w:rPr>
          <w:rFonts w:hint="eastAsia" w:ascii="仿宋_GB2312"/>
          <w:szCs w:val="32"/>
          <w:lang w:val="en-US" w:eastAsia="zh-CN"/>
        </w:rPr>
        <w:t>年初预算254.42万元，</w:t>
      </w:r>
      <w:r>
        <w:rPr>
          <w:rFonts w:hint="eastAsia" w:ascii="仿宋_GB2312" w:hAnsi="Calibri" w:eastAsia="仿宋_GB2312" w:cs="仿宋_GB2312"/>
          <w:kern w:val="2"/>
          <w:sz w:val="32"/>
          <w:szCs w:val="32"/>
          <w:lang w:val="en-US" w:eastAsia="zh-CN" w:bidi="ar"/>
        </w:rPr>
        <w:t>年末调</w:t>
      </w:r>
      <w:r>
        <w:rPr>
          <w:rFonts w:hint="eastAsia" w:ascii="仿宋_GB2312" w:hAnsi="Calibri" w:cs="仿宋_GB2312"/>
          <w:kern w:val="2"/>
          <w:sz w:val="32"/>
          <w:szCs w:val="32"/>
          <w:lang w:val="en-US" w:eastAsia="zh-CN" w:bidi="ar"/>
        </w:rPr>
        <w:t>增</w:t>
      </w:r>
      <w:r>
        <w:rPr>
          <w:rFonts w:hint="eastAsia" w:ascii="仿宋_GB2312" w:hAnsi="Calibri" w:eastAsia="仿宋_GB2312" w:cs="仿宋_GB2312"/>
          <w:kern w:val="2"/>
          <w:sz w:val="32"/>
          <w:szCs w:val="32"/>
          <w:lang w:val="en-US" w:eastAsia="zh-CN" w:bidi="ar"/>
        </w:rPr>
        <w:t>预算资金</w:t>
      </w:r>
      <w:r>
        <w:rPr>
          <w:rFonts w:hint="eastAsia" w:ascii="仿宋_GB2312" w:hAnsi="Calibri" w:cs="仿宋_GB2312"/>
          <w:kern w:val="2"/>
          <w:sz w:val="32"/>
          <w:szCs w:val="32"/>
          <w:lang w:val="en-US" w:eastAsia="zh-CN" w:bidi="ar"/>
        </w:rPr>
        <w:t>为8.58</w:t>
      </w:r>
      <w:r>
        <w:rPr>
          <w:rFonts w:hint="eastAsia" w:ascii="仿宋_GB2312" w:hAnsi="Calibri" w:eastAsia="仿宋_GB2312" w:cs="仿宋_GB2312"/>
          <w:kern w:val="2"/>
          <w:sz w:val="32"/>
          <w:szCs w:val="32"/>
          <w:lang w:val="en-US" w:eastAsia="zh-CN" w:bidi="ar"/>
        </w:rPr>
        <w:t>万元，</w:t>
      </w:r>
      <w:r>
        <w:rPr>
          <w:rFonts w:hint="eastAsia" w:ascii="仿宋_GB2312" w:hAnsi="Calibri" w:cs="仿宋_GB2312"/>
          <w:kern w:val="2"/>
          <w:sz w:val="32"/>
          <w:szCs w:val="32"/>
          <w:lang w:val="en-US" w:eastAsia="zh-CN" w:bidi="ar"/>
        </w:rPr>
        <w:t>实际预算数为263万元，</w:t>
      </w:r>
      <w:r>
        <w:rPr>
          <w:rFonts w:hint="eastAsia" w:ascii="仿宋_GB2312" w:hAnsi="仿宋_GB2312" w:cs="仿宋_GB2312"/>
          <w:i w:val="0"/>
          <w:caps w:val="0"/>
          <w:color w:val="auto"/>
          <w:spacing w:val="0"/>
          <w:sz w:val="32"/>
          <w:szCs w:val="32"/>
          <w:shd w:val="clear" w:color="auto" w:fill="FFFFFF"/>
          <w:lang w:val="en-US" w:eastAsia="zh-CN"/>
        </w:rPr>
        <w:t>通过年末预算调整后</w:t>
      </w:r>
      <w:r>
        <w:rPr>
          <w:rFonts w:hint="eastAsia" w:ascii="仿宋_GB2312" w:hAnsi="Calibri" w:cs="仿宋_GB2312"/>
          <w:kern w:val="2"/>
          <w:sz w:val="32"/>
          <w:szCs w:val="32"/>
          <w:lang w:val="en-US" w:eastAsia="zh-CN" w:bidi="ar"/>
        </w:rPr>
        <w:t>预算执行率100%。调增原因为COP15城市周边道路环境综合整治增加工作量及资金投入。</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仿宋_GB2312" w:hAnsi="仿宋_GB2312" w:eastAsia="仿宋_GB2312" w:cs="仿宋_GB2312"/>
          <w:szCs w:val="32"/>
          <w:lang w:val="en-US" w:eastAsia="zh-CN"/>
        </w:rPr>
      </w:pPr>
      <w:r>
        <w:rPr>
          <w:rFonts w:hint="eastAsia" w:ascii="仿宋_GB2312" w:hAnsi="Calibri" w:cs="仿宋_GB2312"/>
          <w:kern w:val="2"/>
          <w:sz w:val="32"/>
          <w:szCs w:val="32"/>
          <w:lang w:val="en-US" w:eastAsia="zh-CN" w:bidi="ar"/>
        </w:rPr>
        <w:t>我局</w:t>
      </w:r>
      <w:r>
        <w:rPr>
          <w:rFonts w:hint="eastAsia" w:ascii="仿宋_GB2312" w:hAnsi="仿宋_GB2312" w:eastAsia="仿宋_GB2312" w:cs="仿宋_GB2312"/>
          <w:i w:val="0"/>
          <w:caps w:val="0"/>
          <w:color w:val="auto"/>
          <w:spacing w:val="0"/>
          <w:sz w:val="32"/>
          <w:szCs w:val="32"/>
          <w:shd w:val="clear" w:fill="FFFFFF"/>
        </w:rPr>
        <w:t>严格按照《</w:t>
      </w:r>
      <w:r>
        <w:rPr>
          <w:rFonts w:hint="eastAsia" w:ascii="仿宋_GB2312" w:hAnsi="仿宋_GB2312" w:cs="仿宋_GB2312"/>
          <w:i w:val="0"/>
          <w:caps w:val="0"/>
          <w:color w:val="auto"/>
          <w:spacing w:val="0"/>
          <w:sz w:val="32"/>
          <w:szCs w:val="32"/>
          <w:shd w:val="clear" w:fill="FFFFFF"/>
          <w:lang w:eastAsia="zh-CN"/>
        </w:rPr>
        <w:t>昆明市呈贡区交通运输局财务</w:t>
      </w:r>
      <w:r>
        <w:rPr>
          <w:rFonts w:hint="eastAsia" w:ascii="仿宋_GB2312" w:hAnsi="仿宋_GB2312" w:eastAsia="仿宋_GB2312" w:cs="仿宋_GB2312"/>
          <w:i w:val="0"/>
          <w:caps w:val="0"/>
          <w:color w:val="auto"/>
          <w:spacing w:val="0"/>
          <w:sz w:val="32"/>
          <w:szCs w:val="32"/>
          <w:shd w:val="clear" w:fill="FFFFFF"/>
        </w:rPr>
        <w:t>管理制度》执行</w:t>
      </w:r>
      <w:r>
        <w:rPr>
          <w:rFonts w:hint="eastAsia" w:ascii="仿宋_GB2312" w:hAnsi="仿宋_GB2312" w:cs="仿宋_GB2312"/>
          <w:i w:val="0"/>
          <w:caps w:val="0"/>
          <w:color w:val="auto"/>
          <w:spacing w:val="0"/>
          <w:sz w:val="32"/>
          <w:szCs w:val="32"/>
          <w:shd w:val="clear" w:fill="FFFFFF"/>
          <w:lang w:eastAsia="zh-CN"/>
        </w:rPr>
        <w:t>该项目经</w:t>
      </w:r>
      <w:r>
        <w:rPr>
          <w:rFonts w:hint="eastAsia" w:ascii="仿宋_GB2312" w:hAnsi="仿宋_GB2312" w:eastAsia="仿宋_GB2312" w:cs="仿宋_GB2312"/>
          <w:i w:val="0"/>
          <w:caps w:val="0"/>
          <w:color w:val="auto"/>
          <w:spacing w:val="0"/>
          <w:sz w:val="32"/>
          <w:szCs w:val="32"/>
          <w:shd w:val="clear" w:fill="FFFFFF"/>
        </w:rPr>
        <w:t>费的管理和使用，项目资金使用合规，不存在截留、挤占、虚列等违规情况</w:t>
      </w:r>
      <w:r>
        <w:rPr>
          <w:rFonts w:hint="eastAsia" w:ascii="仿宋_GB2312" w:hAnsi="仿宋_GB2312" w:cs="仿宋_GB2312"/>
          <w:i w:val="0"/>
          <w:caps w:val="0"/>
          <w:color w:val="auto"/>
          <w:spacing w:val="0"/>
          <w:sz w:val="32"/>
          <w:szCs w:val="32"/>
          <w:shd w:val="clear" w:fill="FFFFFF"/>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60" w:lineRule="exact"/>
        <w:ind w:left="0" w:right="0" w:firstLine="594" w:firstLineChars="200"/>
        <w:jc w:val="both"/>
        <w:textAlignment w:val="auto"/>
        <w:rPr>
          <w:rFonts w:hint="eastAsia" w:ascii="仿宋_GB2312" w:hAnsi="仿宋_GB2312" w:cs="仿宋_GB2312"/>
          <w:sz w:val="32"/>
          <w:szCs w:val="32"/>
          <w:lang w:val="en-US" w:eastAsia="zh-CN"/>
        </w:rPr>
      </w:pPr>
      <w:r>
        <w:rPr>
          <w:rFonts w:hint="eastAsia" w:ascii="仿宋_GB2312"/>
          <w:szCs w:val="32"/>
          <w:lang w:val="en-US" w:eastAsia="zh-CN"/>
        </w:rPr>
        <w:t>“</w:t>
      </w:r>
      <w:r>
        <w:rPr>
          <w:rFonts w:hint="eastAsia" w:ascii="仿宋_GB2312" w:hAnsi="仿宋_GB2312" w:eastAsia="仿宋_GB2312" w:cs="仿宋_GB2312"/>
          <w:sz w:val="32"/>
          <w:szCs w:val="32"/>
          <w:lang w:val="en-US" w:eastAsia="zh-CN"/>
        </w:rPr>
        <w:t>美丽公路”及南连接线呈贡段项目租地及管养</w:t>
      </w:r>
      <w:r>
        <w:rPr>
          <w:rFonts w:hint="eastAsia" w:ascii="仿宋_GB2312" w:hAnsi="仿宋_GB2312" w:cs="仿宋_GB2312"/>
          <w:sz w:val="32"/>
          <w:szCs w:val="32"/>
          <w:lang w:val="en-US" w:eastAsia="zh-CN"/>
        </w:rPr>
        <w:t>始于</w:t>
      </w:r>
      <w:r>
        <w:rPr>
          <w:rFonts w:hint="eastAsia" w:ascii="仿宋_GB2312" w:hAnsi="仿宋_GB2312" w:cs="仿宋_GB2312"/>
          <w:color w:val="auto"/>
          <w:sz w:val="32"/>
          <w:szCs w:val="32"/>
          <w:lang w:val="en-US" w:eastAsia="zh-CN"/>
        </w:rPr>
        <w:t>2020年，共与11家单位签订了12个地块绿化用地</w:t>
      </w:r>
      <w:r>
        <w:rPr>
          <w:rFonts w:hint="eastAsia" w:ascii="仿宋_GB2312" w:hAnsi="仿宋_GB2312" w:eastAsia="仿宋_GB2312" w:cs="仿宋_GB2312"/>
          <w:sz w:val="32"/>
          <w:szCs w:val="32"/>
          <w:lang w:val="en-US" w:eastAsia="zh-CN"/>
        </w:rPr>
        <w:t>租凭合同</w:t>
      </w:r>
      <w:r>
        <w:rPr>
          <w:rFonts w:hint="eastAsia" w:ascii="仿宋_GB2312" w:hAnsi="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租赁合同均为两年一签，租金支付采取一年一次的方式支付</w:t>
      </w:r>
      <w:r>
        <w:rPr>
          <w:rFonts w:hint="eastAsia" w:ascii="仿宋_GB2312" w:hAnsi="仿宋_GB2312" w:cs="仿宋_GB2312"/>
          <w:color w:val="auto"/>
          <w:sz w:val="32"/>
          <w:szCs w:val="32"/>
          <w:lang w:val="en-US" w:eastAsia="zh-CN"/>
        </w:rPr>
        <w:t>；</w:t>
      </w:r>
      <w:r>
        <w:rPr>
          <w:rFonts w:hint="eastAsia" w:ascii="仿宋_GB2312" w:hAnsi="仿宋_GB2312" w:cs="仿宋_GB2312"/>
          <w:sz w:val="32"/>
          <w:szCs w:val="32"/>
          <w:lang w:val="en-US" w:eastAsia="zh-CN"/>
        </w:rPr>
        <w:t>通过公开招标确定昆明泽汇市政环境工程有限公司为管养单位，服务期限2021年6月6日-2024年6月5日，合同价1287.535641万元。按照合同约定，2021年已将12个地</w:t>
      </w:r>
      <w:r>
        <w:rPr>
          <w:rFonts w:hint="eastAsia" w:ascii="仿宋_GB2312" w:hAnsi="仿宋_GB2312" w:cs="仿宋_GB2312"/>
          <w:color w:val="auto"/>
          <w:sz w:val="32"/>
          <w:szCs w:val="32"/>
          <w:lang w:val="en-US" w:eastAsia="zh-CN"/>
        </w:rPr>
        <w:t>块绿化用地</w:t>
      </w:r>
      <w:r>
        <w:rPr>
          <w:rFonts w:hint="eastAsia" w:ascii="仿宋_GB2312" w:hAnsi="仿宋_GB2312" w:eastAsia="仿宋_GB2312" w:cs="仿宋_GB2312"/>
          <w:sz w:val="32"/>
          <w:szCs w:val="32"/>
          <w:lang w:val="en-US" w:eastAsia="zh-CN"/>
        </w:rPr>
        <w:t>租凭</w:t>
      </w:r>
      <w:r>
        <w:rPr>
          <w:rFonts w:hint="eastAsia" w:ascii="仿宋_GB2312" w:hAnsi="仿宋_GB2312" w:cs="仿宋_GB2312"/>
          <w:sz w:val="32"/>
          <w:szCs w:val="32"/>
          <w:lang w:val="en-US" w:eastAsia="zh-CN"/>
        </w:rPr>
        <w:t>费用及绿化管养费用263万元支付给相关单位。</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60" w:lineRule="exact"/>
        <w:ind w:left="0" w:right="0" w:firstLine="594" w:firstLineChars="200"/>
        <w:jc w:val="both"/>
        <w:textAlignment w:val="auto"/>
        <w:rPr>
          <w:rFonts w:ascii="仿宋_GB2312"/>
          <w:color w:val="auto"/>
          <w:szCs w:val="32"/>
        </w:rPr>
      </w:pPr>
      <w:r>
        <w:rPr>
          <w:rFonts w:hint="eastAsia" w:ascii="仿宋_GB2312" w:hAnsi="仿宋_GB2312" w:cs="仿宋_GB2312"/>
          <w:sz w:val="32"/>
          <w:szCs w:val="32"/>
          <w:lang w:val="en-US" w:eastAsia="zh-CN"/>
        </w:rPr>
        <w:t>我局采取以下措施督促绿化管养单位开展12个</w:t>
      </w:r>
      <w:r>
        <w:rPr>
          <w:rFonts w:hint="eastAsia" w:ascii="仿宋_GB2312" w:hAnsi="仿宋_GB2312" w:cs="仿宋_GB2312"/>
          <w:color w:val="auto"/>
          <w:sz w:val="32"/>
          <w:szCs w:val="32"/>
          <w:lang w:val="en-US" w:eastAsia="zh-CN"/>
        </w:rPr>
        <w:t>地块绿化进行浇水、施肥、除草、修剪、病虫害防治、防风防寒、更换枯死苗木等工作。一是制定领导责任制，要求专人管专事，专人负专责，制定绿化养护管理办法；二是建立自查为主监督指导为辅的工作机制，进行周检、月检相结合，常规检查与重点检查相交叉；三是增强从业人员规范管理意识，提高绿化养护管理业务素质；四是建立绿化管理台账，精确掌握现有服务区绿化情况;五是执行绩效专核机制，</w:t>
      </w:r>
      <w:r>
        <w:rPr>
          <w:rFonts w:hint="eastAsia" w:ascii="仿宋_GB2312" w:hAnsi="仿宋_GB2312" w:eastAsia="仿宋_GB2312" w:cs="仿宋_GB2312"/>
          <w:color w:val="auto"/>
          <w:szCs w:val="32"/>
        </w:rPr>
        <w:t>在</w:t>
      </w:r>
      <w:r>
        <w:rPr>
          <w:rFonts w:hint="eastAsia" w:ascii="仿宋_GB2312" w:hAnsi="仿宋_GB2312" w:cs="仿宋_GB2312"/>
          <w:color w:val="auto"/>
          <w:szCs w:val="32"/>
          <w:lang w:val="en-US" w:eastAsia="zh-CN"/>
        </w:rPr>
        <w:t>费用</w:t>
      </w:r>
      <w:r>
        <w:rPr>
          <w:rFonts w:hint="eastAsia" w:ascii="仿宋_GB2312" w:hAnsi="仿宋_GB2312" w:eastAsia="仿宋_GB2312" w:cs="仿宋_GB2312"/>
          <w:color w:val="auto"/>
          <w:szCs w:val="32"/>
        </w:rPr>
        <w:t>支付上，严格审批手续，</w:t>
      </w:r>
      <w:r>
        <w:rPr>
          <w:rFonts w:hint="eastAsia" w:ascii="仿宋_GB2312" w:hAnsi="仿宋_GB2312" w:cs="仿宋_GB2312"/>
          <w:color w:val="auto"/>
          <w:szCs w:val="32"/>
          <w:lang w:val="en-US" w:eastAsia="zh-CN"/>
        </w:rPr>
        <w:t>根据考核结果及</w:t>
      </w:r>
      <w:r>
        <w:rPr>
          <w:rFonts w:hint="eastAsia" w:ascii="仿宋_GB2312" w:hAnsi="仿宋_GB2312" w:eastAsia="仿宋_GB2312" w:cs="仿宋_GB2312"/>
          <w:color w:val="auto"/>
          <w:szCs w:val="32"/>
        </w:rPr>
        <w:t>合同约定</w:t>
      </w:r>
      <w:r>
        <w:rPr>
          <w:rFonts w:hint="eastAsia" w:ascii="仿宋_GB2312" w:hAnsi="仿宋_GB2312" w:cs="仿宋_GB2312"/>
          <w:color w:val="auto"/>
          <w:szCs w:val="32"/>
          <w:lang w:val="en-US" w:eastAsia="zh-CN"/>
        </w:rPr>
        <w:t>进行</w:t>
      </w:r>
      <w:r>
        <w:rPr>
          <w:rFonts w:hint="eastAsia" w:ascii="仿宋_GB2312" w:hAnsi="仿宋_GB2312" w:eastAsia="仿宋_GB2312" w:cs="仿宋_GB2312"/>
          <w:color w:val="auto"/>
          <w:szCs w:val="32"/>
        </w:rPr>
        <w:t>拨付。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numPr>
          <w:numId w:val="0"/>
        </w:numPr>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bookmarkStart w:id="0" w:name="_GoBack"/>
      <w:bookmarkEnd w:id="0"/>
      <w:r>
        <w:rPr>
          <w:rFonts w:hint="eastAsia" w:ascii="仿宋_GB2312" w:hAnsi="仿宋_GB2312" w:cs="仿宋_GB2312"/>
          <w:b/>
          <w:bCs/>
          <w:color w:val="000000"/>
          <w:kern w:val="2"/>
          <w:sz w:val="32"/>
          <w:szCs w:val="32"/>
          <w:lang w:val="en-US" w:eastAsia="zh-CN" w:bidi="ar-SA"/>
        </w:rPr>
        <w:t>经济性：</w:t>
      </w:r>
      <w:r>
        <w:rPr>
          <w:rFonts w:hint="eastAsia" w:ascii="仿宋_GB2312"/>
          <w:szCs w:val="32"/>
          <w:lang w:val="en-US" w:eastAsia="zh-CN"/>
        </w:rPr>
        <w:t>2021年“</w:t>
      </w:r>
      <w:r>
        <w:rPr>
          <w:rFonts w:hint="eastAsia" w:ascii="仿宋_GB2312" w:hAnsi="仿宋_GB2312" w:eastAsia="仿宋_GB2312" w:cs="仿宋_GB2312"/>
          <w:sz w:val="32"/>
          <w:szCs w:val="32"/>
          <w:lang w:val="en-US" w:eastAsia="zh-CN"/>
        </w:rPr>
        <w:t>美丽公路”及南连接线呈贡段项目租地及管养</w:t>
      </w:r>
      <w:r>
        <w:rPr>
          <w:rFonts w:hint="eastAsia" w:ascii="仿宋_GB2312"/>
          <w:szCs w:val="32"/>
          <w:lang w:val="en-US" w:eastAsia="zh-CN"/>
        </w:rPr>
        <w:t>年初预算254.42万元，</w:t>
      </w:r>
      <w:r>
        <w:rPr>
          <w:rFonts w:hint="eastAsia" w:ascii="仿宋_GB2312" w:hAnsi="Calibri" w:eastAsia="仿宋_GB2312" w:cs="仿宋_GB2312"/>
          <w:kern w:val="2"/>
          <w:sz w:val="32"/>
          <w:szCs w:val="32"/>
          <w:lang w:val="en-US" w:eastAsia="zh-CN" w:bidi="ar"/>
        </w:rPr>
        <w:t>年末调</w:t>
      </w:r>
      <w:r>
        <w:rPr>
          <w:rFonts w:hint="eastAsia" w:ascii="仿宋_GB2312" w:hAnsi="Calibri" w:cs="仿宋_GB2312"/>
          <w:kern w:val="2"/>
          <w:sz w:val="32"/>
          <w:szCs w:val="32"/>
          <w:lang w:val="en-US" w:eastAsia="zh-CN" w:bidi="ar"/>
        </w:rPr>
        <w:t>增</w:t>
      </w:r>
      <w:r>
        <w:rPr>
          <w:rFonts w:hint="eastAsia" w:ascii="仿宋_GB2312" w:hAnsi="Calibri" w:eastAsia="仿宋_GB2312" w:cs="仿宋_GB2312"/>
          <w:kern w:val="2"/>
          <w:sz w:val="32"/>
          <w:szCs w:val="32"/>
          <w:lang w:val="en-US" w:eastAsia="zh-CN" w:bidi="ar"/>
        </w:rPr>
        <w:t>预算资金</w:t>
      </w:r>
      <w:r>
        <w:rPr>
          <w:rFonts w:hint="eastAsia" w:ascii="仿宋_GB2312" w:hAnsi="Calibri" w:cs="仿宋_GB2312"/>
          <w:kern w:val="2"/>
          <w:sz w:val="32"/>
          <w:szCs w:val="32"/>
          <w:lang w:val="en-US" w:eastAsia="zh-CN" w:bidi="ar"/>
        </w:rPr>
        <w:t>为8.58</w:t>
      </w:r>
      <w:r>
        <w:rPr>
          <w:rFonts w:hint="eastAsia" w:ascii="仿宋_GB2312" w:hAnsi="Calibri" w:eastAsia="仿宋_GB2312" w:cs="仿宋_GB2312"/>
          <w:kern w:val="2"/>
          <w:sz w:val="32"/>
          <w:szCs w:val="32"/>
          <w:lang w:val="en-US" w:eastAsia="zh-CN" w:bidi="ar"/>
        </w:rPr>
        <w:t>万元，</w:t>
      </w:r>
      <w:r>
        <w:rPr>
          <w:rFonts w:hint="eastAsia" w:ascii="仿宋_GB2312" w:hAnsi="Calibri" w:cs="仿宋_GB2312"/>
          <w:kern w:val="2"/>
          <w:sz w:val="32"/>
          <w:szCs w:val="32"/>
          <w:lang w:val="en-US" w:eastAsia="zh-CN" w:bidi="ar"/>
        </w:rPr>
        <w:t>实际预算数为263万元，</w:t>
      </w:r>
      <w:r>
        <w:rPr>
          <w:rFonts w:hint="eastAsia" w:ascii="仿宋_GB2312" w:hAnsi="仿宋_GB2312" w:cs="仿宋_GB2312"/>
          <w:i w:val="0"/>
          <w:caps w:val="0"/>
          <w:color w:val="auto"/>
          <w:spacing w:val="0"/>
          <w:sz w:val="32"/>
          <w:szCs w:val="32"/>
          <w:shd w:val="clear" w:color="auto" w:fill="FFFFFF"/>
          <w:lang w:val="en-US" w:eastAsia="zh-CN"/>
        </w:rPr>
        <w:t>通过年末预算调整后</w:t>
      </w:r>
      <w:r>
        <w:rPr>
          <w:rFonts w:hint="eastAsia" w:ascii="仿宋_GB2312" w:hAnsi="Calibri" w:cs="仿宋_GB2312"/>
          <w:kern w:val="2"/>
          <w:sz w:val="32"/>
          <w:szCs w:val="32"/>
          <w:lang w:val="en-US" w:eastAsia="zh-CN" w:bidi="ar"/>
        </w:rPr>
        <w:t>预算执行率100%。调增原因为COP15城市周边道路环境综合整治增加工作量及资金投入。</w:t>
      </w:r>
      <w:r>
        <w:rPr>
          <w:rFonts w:hint="eastAsia" w:ascii="仿宋_GB2312" w:hAnsi="Calibri" w:cs="仿宋_GB2312"/>
          <w:b/>
          <w:bCs/>
          <w:kern w:val="2"/>
          <w:sz w:val="32"/>
          <w:szCs w:val="32"/>
          <w:lang w:val="en-US" w:eastAsia="zh-CN" w:bidi="ar"/>
        </w:rPr>
        <w:t>效率性：</w:t>
      </w:r>
      <w:r>
        <w:rPr>
          <w:rFonts w:hint="eastAsia" w:ascii="仿宋_GB2312" w:hAnsi="Calibri" w:cs="仿宋_GB2312"/>
          <w:kern w:val="2"/>
          <w:sz w:val="32"/>
          <w:szCs w:val="32"/>
          <w:lang w:val="en-US" w:eastAsia="zh-CN" w:bidi="ar"/>
        </w:rPr>
        <w:t>项目的持续实施，进一步提升了昆玉高速、南绕城高速呈贡段沿线绿化景观，积极营造出“车在路上行，人在画中游”的美丽交通出行氛围。</w:t>
      </w:r>
      <w:r>
        <w:rPr>
          <w:rFonts w:hint="eastAsia" w:ascii="仿宋_GB2312" w:hAnsi="仿宋_GB2312" w:cs="仿宋_GB2312"/>
          <w:b/>
          <w:bCs/>
          <w:color w:val="000000"/>
          <w:kern w:val="2"/>
          <w:sz w:val="32"/>
          <w:szCs w:val="32"/>
          <w:lang w:val="en-US" w:eastAsia="zh-CN" w:bidi="ar-SA"/>
        </w:rPr>
        <w:t>可持续性：</w:t>
      </w:r>
      <w:r>
        <w:rPr>
          <w:rFonts w:hint="eastAsia" w:ascii="仿宋_GB2312" w:hAnsi="Calibri" w:cs="仿宋_GB2312"/>
          <w:kern w:val="2"/>
          <w:sz w:val="32"/>
          <w:szCs w:val="32"/>
          <w:lang w:val="en-US" w:eastAsia="zh-CN" w:bidi="ar"/>
        </w:rPr>
        <w:t>项目的持续实施，</w:t>
      </w:r>
      <w:r>
        <w:rPr>
          <w:rFonts w:hint="eastAsia" w:ascii="仿宋_GB2312" w:hAnsi="仿宋_GB2312" w:cs="仿宋_GB2312"/>
          <w:color w:val="000000"/>
          <w:kern w:val="2"/>
          <w:sz w:val="32"/>
          <w:szCs w:val="32"/>
          <w:lang w:val="en-US" w:eastAsia="zh-CN" w:bidi="ar-SA"/>
        </w:rPr>
        <w:t>满足了市民日益增长的交通出行需求，为今后建设“美丽公路”提供了经验参考。</w:t>
      </w:r>
    </w:p>
    <w:p>
      <w:pPr>
        <w:keepNext w:val="0"/>
        <w:keepLines w:val="0"/>
        <w:pageBreakBefore w:val="0"/>
        <w:widowControl w:val="0"/>
        <w:numPr>
          <w:ilvl w:val="0"/>
          <w:numId w:val="2"/>
        </w:numPr>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eastAsia" w:ascii="黑体" w:eastAsia="黑体"/>
          <w:szCs w:val="32"/>
        </w:rPr>
        <w:t>存在的问题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无。</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hAnsi="黑体" w:eastAsia="黑体" w:cs="黑体"/>
          <w:szCs w:val="32"/>
          <w:lang w:val="en-US" w:eastAsia="zh-CN"/>
        </w:rPr>
        <w:t>七</w:t>
      </w:r>
      <w:r>
        <w:rPr>
          <w:rFonts w:hint="eastAsia" w:ascii="黑体" w:hAnsi="黑体" w:eastAsia="黑体" w:cs="黑体"/>
          <w:szCs w:val="32"/>
        </w:rPr>
        <w:t>、</w:t>
      </w:r>
      <w:r>
        <w:rPr>
          <w:rFonts w:hint="eastAsia" w:ascii="黑体" w:eastAsia="黑体"/>
          <w:szCs w:val="32"/>
        </w:rPr>
        <w:t>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eastAsia="仿宋_GB2312"/>
          <w:lang w:eastAsia="zh-CN"/>
        </w:rPr>
      </w:pPr>
      <w:r>
        <w:rPr>
          <w:rFonts w:hint="eastAsia" w:ascii="仿宋_GB2312"/>
          <w:szCs w:val="32"/>
          <w:lang w:val="en-US" w:eastAsia="zh-CN"/>
        </w:rPr>
        <w:t>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91CB9"/>
    <w:multiLevelType w:val="singleLevel"/>
    <w:tmpl w:val="91A91CB9"/>
    <w:lvl w:ilvl="0" w:tentative="0">
      <w:start w:val="2"/>
      <w:numFmt w:val="chineseCounting"/>
      <w:suff w:val="nothing"/>
      <w:lvlText w:val="（%1）"/>
      <w:lvlJc w:val="left"/>
      <w:rPr>
        <w:rFonts w:hint="eastAsia"/>
      </w:rPr>
    </w:lvl>
  </w:abstractNum>
  <w:abstractNum w:abstractNumId="1">
    <w:nsid w:val="01062F49"/>
    <w:multiLevelType w:val="singleLevel"/>
    <w:tmpl w:val="01062F49"/>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6DC5D25"/>
    <w:rsid w:val="07DA32E3"/>
    <w:rsid w:val="0A456833"/>
    <w:rsid w:val="0DE131B7"/>
    <w:rsid w:val="11D41B62"/>
    <w:rsid w:val="18956BD8"/>
    <w:rsid w:val="1A6B4094"/>
    <w:rsid w:val="1D65301C"/>
    <w:rsid w:val="263C4B36"/>
    <w:rsid w:val="28E86EA3"/>
    <w:rsid w:val="2ABB4B7B"/>
    <w:rsid w:val="2E0D0D7E"/>
    <w:rsid w:val="2E933762"/>
    <w:rsid w:val="31B77767"/>
    <w:rsid w:val="32E70EBF"/>
    <w:rsid w:val="36C16230"/>
    <w:rsid w:val="3765796B"/>
    <w:rsid w:val="378A5996"/>
    <w:rsid w:val="3BD470C9"/>
    <w:rsid w:val="44E64193"/>
    <w:rsid w:val="46EE37D3"/>
    <w:rsid w:val="4A2D6BAB"/>
    <w:rsid w:val="4FF05926"/>
    <w:rsid w:val="51206E52"/>
    <w:rsid w:val="529671F9"/>
    <w:rsid w:val="5435693C"/>
    <w:rsid w:val="56CA56C3"/>
    <w:rsid w:val="5A3C6978"/>
    <w:rsid w:val="5C8B168C"/>
    <w:rsid w:val="5E053ECD"/>
    <w:rsid w:val="5E96232F"/>
    <w:rsid w:val="60896FEF"/>
    <w:rsid w:val="62A36DC8"/>
    <w:rsid w:val="67600811"/>
    <w:rsid w:val="677F4B62"/>
    <w:rsid w:val="69BA15C7"/>
    <w:rsid w:val="7B0A475E"/>
    <w:rsid w:val="7B6A1314"/>
    <w:rsid w:val="7DD221BC"/>
    <w:rsid w:val="7EF26CB5"/>
    <w:rsid w:val="7F34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djustRightInd/>
      <w:spacing w:after="120" w:line="240" w:lineRule="auto"/>
      <w:ind w:firstLine="100" w:firstLineChars="100"/>
    </w:pPr>
  </w:style>
  <w:style w:type="paragraph" w:styleId="3">
    <w:name w:val="Body Text"/>
    <w:basedOn w:val="1"/>
    <w:next w:val="4"/>
    <w:qFormat/>
    <w:uiPriority w:val="0"/>
    <w:pPr>
      <w:spacing w:after="120" w:afterLines="0"/>
    </w:pPr>
    <w:rPr>
      <w:kern w:val="0"/>
    </w:rPr>
  </w:style>
  <w:style w:type="paragraph" w:styleId="4">
    <w:name w:val="toc 5"/>
    <w:basedOn w:val="1"/>
    <w:next w:val="1"/>
    <w:qFormat/>
    <w:uiPriority w:val="0"/>
    <w:pPr>
      <w:spacing w:before="100" w:beforeAutospacing="1" w:after="100" w:afterAutospacing="1"/>
      <w:ind w:left="1680" w:leftChars="800"/>
    </w:pPr>
  </w:style>
  <w:style w:type="paragraph" w:customStyle="1" w:styleId="7">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仰望1403521827</cp:lastModifiedBy>
  <dcterms:modified xsi:type="dcterms:W3CDTF">2022-03-09T08:18:39Z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944259499AA9439BAEC7CB21021EC9CC</vt:lpwstr>
  </property>
</Properties>
</file>