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昆明市呈贡区司法局2021年度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项目支出绩效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自评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报告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（200万元以下的项目）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ascii="黑体" w:eastAsia="黑体"/>
          <w:szCs w:val="32"/>
          <w:highlight w:val="none"/>
        </w:rPr>
      </w:pPr>
      <w:r>
        <w:rPr>
          <w:rFonts w:hint="eastAsia" w:ascii="黑体" w:eastAsia="黑体"/>
          <w:szCs w:val="32"/>
          <w:highlight w:val="none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楷体_GB2312" w:hAnsi="楷体_GB2312" w:eastAsia="楷体_GB2312" w:cs="楷体_GB231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Cs w:val="32"/>
          <w:highlight w:val="none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szCs w:val="32"/>
          <w:highlight w:val="none"/>
        </w:rPr>
        <w:t>根据要求，绩效评价对象为202</w:t>
      </w:r>
      <w:r>
        <w:rPr>
          <w:rFonts w:hint="eastAsia" w:ascii="仿宋_GB2312"/>
          <w:szCs w:val="32"/>
          <w:highlight w:val="none"/>
          <w:lang w:val="en-US" w:eastAsia="zh-CN"/>
        </w:rPr>
        <w:t>1</w:t>
      </w:r>
      <w:r>
        <w:rPr>
          <w:rFonts w:hint="eastAsia" w:ascii="仿宋_GB2312"/>
          <w:szCs w:val="32"/>
          <w:highlight w:val="none"/>
        </w:rPr>
        <w:t>年财政预算支出200万元以下的每个项目，按项目类别、属性合并</w:t>
      </w:r>
      <w:r>
        <w:rPr>
          <w:rFonts w:hint="eastAsia" w:ascii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评价。202</w:t>
      </w:r>
      <w:r>
        <w:rPr>
          <w:rFonts w:hint="eastAsia" w:ascii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年，我局无单项在200万元以上的项目，单项200万元以下的项目</w:t>
      </w:r>
      <w:r>
        <w:rPr>
          <w:rFonts w:hint="eastAsia" w:ascii="仿宋_GB2312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33</w:t>
      </w:r>
      <w:r>
        <w:rPr>
          <w:rFonts w:hint="eastAsia" w:ascii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个，年初预算项目资金</w:t>
      </w:r>
      <w:r>
        <w:rPr>
          <w:rFonts w:hint="eastAsia" w:ascii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420.22</w:t>
      </w:r>
      <w:r>
        <w:rPr>
          <w:rFonts w:hint="eastAsia" w:ascii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调整预算资金（含中央转移支付资金）</w:t>
      </w:r>
      <w:r>
        <w:rPr>
          <w:rFonts w:hint="eastAsia" w:ascii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559.48</w:t>
      </w:r>
      <w:r>
        <w:rPr>
          <w:rFonts w:hint="eastAsia" w:ascii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万元，实际支出</w:t>
      </w:r>
      <w:r>
        <w:rPr>
          <w:rFonts w:hint="eastAsia" w:ascii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559.48</w:t>
      </w:r>
      <w:r>
        <w:rPr>
          <w:rFonts w:hint="eastAsia" w:ascii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万元，执行率100%。其中区级财政安排资金项目</w:t>
      </w:r>
      <w:r>
        <w:rPr>
          <w:rFonts w:hint="eastAsia" w:ascii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个，资来源共计</w:t>
      </w:r>
      <w:r>
        <w:rPr>
          <w:rFonts w:hint="eastAsia" w:ascii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344.72</w:t>
      </w:r>
      <w:r>
        <w:rPr>
          <w:rFonts w:hint="eastAsia" w:ascii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万元，实际支出</w:t>
      </w:r>
      <w:r>
        <w:rPr>
          <w:rFonts w:hint="eastAsia" w:ascii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380.59</w:t>
      </w:r>
      <w:r>
        <w:rPr>
          <w:rFonts w:hint="eastAsia" w:ascii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万元，执行率</w:t>
      </w:r>
      <w:r>
        <w:rPr>
          <w:rFonts w:hint="eastAsia" w:ascii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%；上对下专项转移支付资金项目</w:t>
      </w:r>
      <w:r>
        <w:rPr>
          <w:rFonts w:hint="eastAsia" w:ascii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个，资金来源共计</w:t>
      </w:r>
      <w:r>
        <w:rPr>
          <w:rFonts w:hint="eastAsia" w:ascii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214.76</w:t>
      </w:r>
      <w:r>
        <w:rPr>
          <w:rFonts w:hint="eastAsia" w:ascii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万元，实际支出</w:t>
      </w:r>
      <w:r>
        <w:rPr>
          <w:rFonts w:hint="eastAsia" w:ascii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214.76</w:t>
      </w:r>
      <w:r>
        <w:rPr>
          <w:rFonts w:hint="eastAsia" w:ascii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万元，执行率</w:t>
      </w:r>
      <w:r>
        <w:rPr>
          <w:rFonts w:hint="eastAsia" w:ascii="仿宋_GB2312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（二）项目绩效目标</w:t>
      </w:r>
      <w:r>
        <w:rPr>
          <w:rFonts w:hint="eastAsia" w:ascii="楷体_GB2312" w:hAnsi="楷体_GB2312" w:eastAsia="楷体_GB2312" w:cs="楷体_GB2312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设定及指标完成情况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呈贡区司法局绩效目标是按规定用途使用各专项经费</w:t>
      </w:r>
      <w:r>
        <w:rPr>
          <w:rFonts w:hint="eastAsia" w:ascii="仿宋_GB2312"/>
          <w:szCs w:val="32"/>
          <w:highlight w:val="none"/>
        </w:rPr>
        <w:t>，保障司法行政机关及6个司法所普法宣传、人民调解、法律援助、社区矫正、公证律师、依法行政指导监督、依法治区等各项业务工作开展</w:t>
      </w:r>
      <w:r>
        <w:rPr>
          <w:rFonts w:hint="eastAsia" w:ascii="仿宋_GB2312"/>
          <w:szCs w:val="32"/>
          <w:highlight w:val="none"/>
          <w:lang w:eastAsia="zh-CN"/>
        </w:rPr>
        <w:t>，年底完成项目支付。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黑体" w:eastAsia="黑体"/>
          <w:szCs w:val="32"/>
          <w:highlight w:val="none"/>
        </w:rPr>
      </w:pPr>
      <w:r>
        <w:rPr>
          <w:rFonts w:hint="eastAsia" w:ascii="黑体" w:eastAsia="黑体"/>
          <w:szCs w:val="32"/>
          <w:highlight w:val="none"/>
        </w:rPr>
        <w:t>二、</w:t>
      </w:r>
      <w:r>
        <w:rPr>
          <w:rFonts w:hint="eastAsia" w:ascii="黑体" w:eastAsia="黑体"/>
          <w:szCs w:val="32"/>
          <w:highlight w:val="none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楷体_GB2312" w:hAnsi="楷体_GB2312" w:eastAsia="楷体_GB2312" w:cs="楷体_GB231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Cs w:val="32"/>
          <w:highlight w:val="none"/>
        </w:rPr>
        <w:t>（一）项目资金情况分析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1.项目资金到位情况分析：预算支出200万元以下的项目有</w:t>
      </w:r>
      <w:r>
        <w:rPr>
          <w:rFonts w:hint="eastAsia" w:ascii="仿宋_GB2312"/>
          <w:szCs w:val="32"/>
          <w:highlight w:val="none"/>
          <w:lang w:val="en-US" w:eastAsia="zh-CN"/>
        </w:rPr>
        <w:t>33</w:t>
      </w:r>
      <w:r>
        <w:rPr>
          <w:rFonts w:hint="eastAsia" w:ascii="仿宋_GB2312"/>
          <w:szCs w:val="32"/>
          <w:highlight w:val="none"/>
        </w:rPr>
        <w:t>个，合计金额</w:t>
      </w:r>
      <w:r>
        <w:rPr>
          <w:rFonts w:hint="eastAsia" w:ascii="仿宋_GB2312"/>
          <w:szCs w:val="32"/>
          <w:highlight w:val="none"/>
          <w:lang w:val="en-US" w:eastAsia="zh-CN"/>
        </w:rPr>
        <w:t>559.48</w:t>
      </w:r>
      <w:r>
        <w:rPr>
          <w:rFonts w:hint="eastAsia" w:ascii="仿宋_GB2312"/>
          <w:szCs w:val="32"/>
          <w:highlight w:val="none"/>
        </w:rPr>
        <w:t>万元，所有经费均是财政预算资金，是一年完成项目，各项资金总计</w:t>
      </w:r>
      <w:r>
        <w:rPr>
          <w:rFonts w:hint="eastAsia" w:ascii="仿宋_GB2312"/>
          <w:szCs w:val="32"/>
          <w:highlight w:val="none"/>
          <w:lang w:val="en-US" w:eastAsia="zh-CN"/>
        </w:rPr>
        <w:t>559.48</w:t>
      </w:r>
      <w:r>
        <w:rPr>
          <w:rFonts w:hint="eastAsia" w:ascii="仿宋_GB2312"/>
          <w:szCs w:val="32"/>
          <w:highlight w:val="none"/>
        </w:rPr>
        <w:t>万元全部到位，资金到位率为100%。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2.项目资金使用情况分析：200万元以下的项目经费共计</w:t>
      </w:r>
      <w:r>
        <w:rPr>
          <w:rFonts w:hint="eastAsia" w:ascii="仿宋_GB2312"/>
          <w:szCs w:val="32"/>
          <w:highlight w:val="none"/>
          <w:lang w:val="en-US" w:eastAsia="zh-CN"/>
        </w:rPr>
        <w:t>559.48</w:t>
      </w:r>
      <w:r>
        <w:rPr>
          <w:rFonts w:hint="eastAsia" w:ascii="仿宋_GB2312"/>
          <w:szCs w:val="32"/>
          <w:highlight w:val="none"/>
        </w:rPr>
        <w:t>万元，支出</w:t>
      </w:r>
      <w:r>
        <w:rPr>
          <w:rFonts w:hint="eastAsia" w:ascii="仿宋_GB2312"/>
          <w:szCs w:val="32"/>
          <w:highlight w:val="none"/>
          <w:lang w:val="en-US" w:eastAsia="zh-CN"/>
        </w:rPr>
        <w:t>559.48</w:t>
      </w:r>
      <w:r>
        <w:rPr>
          <w:rFonts w:hint="eastAsia" w:ascii="仿宋_GB2312"/>
          <w:szCs w:val="32"/>
          <w:highlight w:val="none"/>
        </w:rPr>
        <w:t>万元，总体执行率100%。各专项经费具体使用情况如下：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/>
          <w:b/>
          <w:bCs/>
          <w:szCs w:val="32"/>
          <w:highlight w:val="none"/>
        </w:rPr>
      </w:pPr>
      <w:r>
        <w:rPr>
          <w:rFonts w:hint="eastAsia" w:ascii="仿宋_GB2312"/>
          <w:b w:val="0"/>
          <w:bCs w:val="0"/>
          <w:szCs w:val="32"/>
          <w:highlight w:val="none"/>
        </w:rPr>
        <w:t>（1）区级财政安排资金项目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1.人民调解“以奖代补”区级配套经费支出</w:t>
      </w:r>
      <w:r>
        <w:rPr>
          <w:rFonts w:hint="eastAsia" w:ascii="仿宋_GB2312"/>
          <w:szCs w:val="32"/>
          <w:highlight w:val="none"/>
          <w:lang w:val="en-US" w:eastAsia="zh-CN"/>
        </w:rPr>
        <w:t>25.48</w:t>
      </w:r>
      <w:r>
        <w:rPr>
          <w:rFonts w:hint="eastAsia" w:ascii="仿宋_GB2312"/>
          <w:szCs w:val="32"/>
          <w:highlight w:val="none"/>
        </w:rPr>
        <w:t>万元，主要用于开展人民调解“以奖代补”案件补贴兑付、及“以奖代补”培训支出；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2.办案业务经费（基层）支出</w:t>
      </w:r>
      <w:r>
        <w:rPr>
          <w:rFonts w:hint="eastAsia" w:ascii="仿宋_GB2312"/>
          <w:szCs w:val="32"/>
          <w:highlight w:val="none"/>
          <w:lang w:val="en-US" w:eastAsia="zh-CN"/>
        </w:rPr>
        <w:t>20.46</w:t>
      </w:r>
      <w:r>
        <w:rPr>
          <w:rFonts w:hint="eastAsia" w:ascii="仿宋_GB2312"/>
          <w:szCs w:val="32"/>
          <w:highlight w:val="none"/>
        </w:rPr>
        <w:t>万元，用于普法宣传、法律援助、司法所等基层业务支出；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3.社区矫正监管系统经费支出</w:t>
      </w:r>
      <w:r>
        <w:rPr>
          <w:rFonts w:hint="eastAsia" w:ascii="仿宋_GB2312"/>
          <w:szCs w:val="32"/>
          <w:highlight w:val="none"/>
          <w:lang w:val="en-US" w:eastAsia="zh-CN"/>
        </w:rPr>
        <w:t>1.19</w:t>
      </w:r>
      <w:r>
        <w:rPr>
          <w:rFonts w:hint="eastAsia" w:ascii="仿宋_GB2312"/>
          <w:szCs w:val="32"/>
          <w:highlight w:val="none"/>
        </w:rPr>
        <w:t>万元，用于支付社区矫正定位手环租赁、社区矫正管理系统平台专线网络、矫正系统执法管理平台使用费，每年一付；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4.社区矫正工作经费支出</w:t>
      </w:r>
      <w:r>
        <w:rPr>
          <w:rFonts w:hint="eastAsia" w:ascii="仿宋_GB2312"/>
          <w:szCs w:val="32"/>
          <w:highlight w:val="none"/>
          <w:lang w:val="en-US" w:eastAsia="zh-CN"/>
        </w:rPr>
        <w:t>6.24</w:t>
      </w:r>
      <w:r>
        <w:rPr>
          <w:rFonts w:hint="eastAsia" w:ascii="仿宋_GB2312"/>
          <w:szCs w:val="32"/>
          <w:highlight w:val="none"/>
        </w:rPr>
        <w:t>万元，用于社区矫正日常工作，社区矫正人员劳动租车、心理咨询、集中教育等工作经费支出；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5.安置帮教工作经费支出</w:t>
      </w:r>
      <w:r>
        <w:rPr>
          <w:rFonts w:hint="eastAsia" w:ascii="仿宋_GB2312"/>
          <w:szCs w:val="32"/>
          <w:highlight w:val="none"/>
          <w:lang w:val="en-US" w:eastAsia="zh-CN"/>
        </w:rPr>
        <w:t>19</w:t>
      </w:r>
      <w:r>
        <w:rPr>
          <w:rFonts w:hint="eastAsia" w:ascii="仿宋_GB2312"/>
          <w:szCs w:val="32"/>
          <w:highlight w:val="none"/>
        </w:rPr>
        <w:t>万元，用于社区矫正及刑释人员劳动场地管养及日常运行支出；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6.人民调解联动协作业务经费支出</w:t>
      </w:r>
      <w:r>
        <w:rPr>
          <w:rFonts w:hint="eastAsia" w:ascii="仿宋_GB2312"/>
          <w:szCs w:val="32"/>
          <w:highlight w:val="none"/>
          <w:lang w:val="en-US" w:eastAsia="zh-CN"/>
        </w:rPr>
        <w:t>8.5</w:t>
      </w:r>
      <w:r>
        <w:rPr>
          <w:rFonts w:hint="eastAsia" w:ascii="仿宋_GB2312"/>
          <w:szCs w:val="32"/>
          <w:highlight w:val="none"/>
        </w:rPr>
        <w:t>万元，用于非编人员参与人民调解化解信访问题值班补贴及“包案化解”奖励金兑付；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7.法治创建工作经费支出1</w:t>
      </w:r>
      <w:r>
        <w:rPr>
          <w:rFonts w:hint="eastAsia" w:ascii="仿宋_GB2312"/>
          <w:szCs w:val="32"/>
          <w:highlight w:val="none"/>
          <w:lang w:val="en-US" w:eastAsia="zh-CN"/>
        </w:rPr>
        <w:t>4</w:t>
      </w:r>
      <w:r>
        <w:rPr>
          <w:rFonts w:hint="eastAsia" w:ascii="仿宋_GB2312"/>
          <w:szCs w:val="32"/>
          <w:highlight w:val="none"/>
        </w:rPr>
        <w:t>万元，用于印制法律</w:t>
      </w:r>
      <w:r>
        <w:rPr>
          <w:rFonts w:hint="eastAsia" w:ascii="仿宋_GB2312"/>
          <w:szCs w:val="32"/>
          <w:highlight w:val="none"/>
          <w:lang w:eastAsia="zh-CN"/>
        </w:rPr>
        <w:t>宣传品</w:t>
      </w:r>
      <w:r>
        <w:rPr>
          <w:rFonts w:hint="eastAsia" w:ascii="仿宋_GB2312"/>
          <w:szCs w:val="32"/>
          <w:highlight w:val="none"/>
        </w:rPr>
        <w:t>、社区法制宣传栏</w:t>
      </w:r>
      <w:r>
        <w:rPr>
          <w:rFonts w:hint="eastAsia" w:ascii="仿宋_GB2312"/>
          <w:szCs w:val="32"/>
          <w:highlight w:val="none"/>
          <w:lang w:eastAsia="zh-CN"/>
        </w:rPr>
        <w:t>维护</w:t>
      </w:r>
      <w:r>
        <w:rPr>
          <w:rFonts w:hint="eastAsia" w:ascii="仿宋_GB2312"/>
          <w:szCs w:val="32"/>
          <w:highlight w:val="none"/>
        </w:rPr>
        <w:t>等支出；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8.普法工作经费支出</w:t>
      </w:r>
      <w:r>
        <w:rPr>
          <w:rFonts w:hint="eastAsia" w:ascii="仿宋_GB2312"/>
          <w:szCs w:val="32"/>
          <w:highlight w:val="none"/>
          <w:lang w:val="en-US" w:eastAsia="zh-CN"/>
        </w:rPr>
        <w:t>22.26</w:t>
      </w:r>
      <w:r>
        <w:rPr>
          <w:rFonts w:hint="eastAsia" w:ascii="仿宋_GB2312"/>
          <w:szCs w:val="32"/>
          <w:highlight w:val="none"/>
        </w:rPr>
        <w:t>万元，用于开展“法律六进”、普法专题日、专项普法等活动制作宣传资料、宣传用品，全区普法骨干培训等活动支出；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9.办案业务经费（普法）支出10万元，用于普法宣传业务支出；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10.公证律师管理工作经费支出</w:t>
      </w:r>
      <w:r>
        <w:rPr>
          <w:rFonts w:hint="eastAsia" w:ascii="仿宋_GB2312"/>
          <w:szCs w:val="32"/>
          <w:highlight w:val="none"/>
          <w:lang w:val="en-US" w:eastAsia="zh-CN"/>
        </w:rPr>
        <w:t>20</w:t>
      </w:r>
      <w:r>
        <w:rPr>
          <w:rFonts w:hint="eastAsia" w:ascii="仿宋_GB2312"/>
          <w:szCs w:val="32"/>
          <w:highlight w:val="none"/>
        </w:rPr>
        <w:t>万元，用于购置公证办证系统、办公设备，开展律师及公证业务</w:t>
      </w:r>
      <w:r>
        <w:rPr>
          <w:rFonts w:hint="eastAsia" w:ascii="仿宋_GB2312"/>
          <w:szCs w:val="32"/>
          <w:highlight w:val="none"/>
          <w:lang w:eastAsia="zh-CN"/>
        </w:rPr>
        <w:t>等</w:t>
      </w:r>
      <w:r>
        <w:rPr>
          <w:rFonts w:hint="eastAsia" w:ascii="仿宋_GB2312"/>
          <w:szCs w:val="32"/>
          <w:highlight w:val="none"/>
        </w:rPr>
        <w:t>支出；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11.区级配套法律援助专项经费支出</w:t>
      </w:r>
      <w:r>
        <w:rPr>
          <w:rFonts w:hint="eastAsia" w:ascii="仿宋_GB2312"/>
          <w:szCs w:val="32"/>
          <w:highlight w:val="none"/>
          <w:lang w:val="en-US" w:eastAsia="zh-CN"/>
        </w:rPr>
        <w:t>10</w:t>
      </w:r>
      <w:r>
        <w:rPr>
          <w:rFonts w:hint="eastAsia" w:ascii="仿宋_GB2312"/>
          <w:szCs w:val="32"/>
          <w:highlight w:val="none"/>
        </w:rPr>
        <w:t>万元，用于兑付法律援助案件补贴；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12.业务装备经费支出</w:t>
      </w:r>
      <w:r>
        <w:rPr>
          <w:rFonts w:hint="eastAsia" w:ascii="仿宋_GB2312"/>
          <w:szCs w:val="32"/>
          <w:highlight w:val="none"/>
          <w:lang w:val="en-US" w:eastAsia="zh-CN"/>
        </w:rPr>
        <w:t>23.88</w:t>
      </w:r>
      <w:r>
        <w:rPr>
          <w:rFonts w:hint="eastAsia" w:ascii="仿宋_GB2312"/>
          <w:szCs w:val="32"/>
          <w:highlight w:val="none"/>
        </w:rPr>
        <w:t>万元，用于</w:t>
      </w:r>
      <w:r>
        <w:rPr>
          <w:rFonts w:hint="eastAsia" w:ascii="仿宋_GB2312"/>
          <w:szCs w:val="32"/>
          <w:highlight w:val="none"/>
          <w:lang w:val="en-US" w:eastAsia="zh-CN"/>
        </w:rPr>
        <w:t>2辆执法执勤用车购置支出及办公设备购置支出</w:t>
      </w:r>
      <w:r>
        <w:rPr>
          <w:rFonts w:hint="eastAsia" w:ascii="仿宋_GB231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13.呈贡区公共法律服务中心和呈贡区大调解协调中心运行经费支出7.5万元，用于呈贡区公共法律服务中心和呈贡区大调解协调中心水电费、物业费等支出；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14.区委依法治区工作经费支出</w:t>
      </w:r>
      <w:r>
        <w:rPr>
          <w:rFonts w:hint="eastAsia" w:ascii="仿宋_GB2312"/>
          <w:szCs w:val="32"/>
          <w:highlight w:val="none"/>
          <w:lang w:val="en-US" w:eastAsia="zh-CN"/>
        </w:rPr>
        <w:t>67.11</w:t>
      </w:r>
      <w:r>
        <w:rPr>
          <w:rFonts w:hint="eastAsia" w:ascii="仿宋_GB2312"/>
          <w:szCs w:val="32"/>
          <w:highlight w:val="none"/>
        </w:rPr>
        <w:t>万元，用于支付</w:t>
      </w:r>
      <w:r>
        <w:rPr>
          <w:rFonts w:hint="eastAsia" w:ascii="仿宋_GB2312"/>
          <w:szCs w:val="32"/>
          <w:highlight w:val="none"/>
          <w:lang w:eastAsia="zh-CN"/>
        </w:rPr>
        <w:t>法治宣传栏制作、公共法律服务站法律服务、</w:t>
      </w:r>
      <w:r>
        <w:rPr>
          <w:rFonts w:hint="eastAsia" w:ascii="仿宋_GB2312"/>
          <w:szCs w:val="32"/>
          <w:highlight w:val="none"/>
        </w:rPr>
        <w:t>法治宣传外宣平台</w:t>
      </w:r>
      <w:r>
        <w:rPr>
          <w:rFonts w:hint="eastAsia" w:ascii="仿宋_GB2312"/>
          <w:szCs w:val="32"/>
          <w:highlight w:val="none"/>
          <w:lang w:eastAsia="zh-CN"/>
        </w:rPr>
        <w:t>外包费用等支出</w:t>
      </w:r>
      <w:r>
        <w:rPr>
          <w:rFonts w:hint="eastAsia" w:ascii="仿宋_GB231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15.人民调解工作业务保障经费支出</w:t>
      </w:r>
      <w:r>
        <w:rPr>
          <w:rFonts w:hint="eastAsia" w:ascii="仿宋_GB2312"/>
          <w:szCs w:val="32"/>
          <w:highlight w:val="none"/>
          <w:lang w:val="en-US" w:eastAsia="zh-CN"/>
        </w:rPr>
        <w:t>8.09</w:t>
      </w:r>
      <w:r>
        <w:rPr>
          <w:rFonts w:hint="eastAsia" w:ascii="仿宋_GB2312"/>
          <w:szCs w:val="32"/>
          <w:highlight w:val="none"/>
        </w:rPr>
        <w:t>万元，主要用于</w:t>
      </w:r>
      <w:r>
        <w:rPr>
          <w:rFonts w:hint="eastAsia" w:ascii="仿宋_GB2312"/>
          <w:szCs w:val="32"/>
          <w:highlight w:val="none"/>
          <w:lang w:eastAsia="zh-CN"/>
        </w:rPr>
        <w:t>人民调解工作相关支出及调解员奖励支出</w:t>
      </w:r>
      <w:r>
        <w:rPr>
          <w:rFonts w:hint="eastAsia" w:ascii="仿宋_GB231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16.法律顾问费支出</w:t>
      </w:r>
      <w:r>
        <w:rPr>
          <w:rFonts w:hint="eastAsia" w:ascii="仿宋_GB2312"/>
          <w:szCs w:val="32"/>
          <w:highlight w:val="none"/>
          <w:lang w:val="en-US" w:eastAsia="zh-CN"/>
        </w:rPr>
        <w:t>40</w:t>
      </w:r>
      <w:r>
        <w:rPr>
          <w:rFonts w:hint="eastAsia" w:ascii="仿宋_GB2312"/>
          <w:szCs w:val="32"/>
          <w:highlight w:val="none"/>
        </w:rPr>
        <w:t>万元，用于支付区委、区政府聘请法律顾问支出；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1</w:t>
      </w:r>
      <w:r>
        <w:rPr>
          <w:rFonts w:hint="eastAsia" w:ascii="仿宋_GB2312"/>
          <w:szCs w:val="32"/>
          <w:highlight w:val="none"/>
          <w:lang w:val="en-US" w:eastAsia="zh-CN"/>
        </w:rPr>
        <w:t>7</w:t>
      </w:r>
      <w:r>
        <w:rPr>
          <w:rFonts w:hint="eastAsia" w:ascii="仿宋_GB2312"/>
          <w:szCs w:val="32"/>
          <w:highlight w:val="none"/>
        </w:rPr>
        <w:t>.行政复议经费支出</w:t>
      </w:r>
      <w:r>
        <w:rPr>
          <w:rFonts w:hint="eastAsia" w:ascii="仿宋_GB2312"/>
          <w:szCs w:val="32"/>
          <w:highlight w:val="none"/>
          <w:lang w:val="en-US" w:eastAsia="zh-CN"/>
        </w:rPr>
        <w:t>10</w:t>
      </w:r>
      <w:r>
        <w:rPr>
          <w:rFonts w:hint="eastAsia" w:ascii="仿宋_GB2312"/>
          <w:szCs w:val="32"/>
          <w:highlight w:val="none"/>
        </w:rPr>
        <w:t>万元，用于组织全区行政执法人员法律知识轮训支出；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  <w:lang w:val="en-US" w:eastAsia="zh-CN"/>
        </w:rPr>
        <w:t>18</w:t>
      </w:r>
      <w:r>
        <w:rPr>
          <w:rFonts w:hint="eastAsia" w:ascii="仿宋_GB2312"/>
          <w:szCs w:val="32"/>
          <w:highlight w:val="none"/>
        </w:rPr>
        <w:t>.度假区（大渔片区）移交呈贡区社会事务经费（司法和综治维稳类）支出</w:t>
      </w:r>
      <w:r>
        <w:rPr>
          <w:rFonts w:hint="eastAsia" w:ascii="仿宋_GB2312"/>
          <w:szCs w:val="32"/>
          <w:highlight w:val="none"/>
          <w:lang w:val="en-US" w:eastAsia="zh-CN"/>
        </w:rPr>
        <w:t>24</w:t>
      </w:r>
      <w:r>
        <w:rPr>
          <w:rFonts w:hint="eastAsia" w:ascii="仿宋_GB2312"/>
          <w:szCs w:val="32"/>
          <w:highlight w:val="none"/>
        </w:rPr>
        <w:t>万元，用于拨付度假区（大渔片区）司法所司法和综治维稳类经费；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  <w:lang w:val="en-US" w:eastAsia="zh-CN"/>
        </w:rPr>
        <w:t>19</w:t>
      </w:r>
      <w:r>
        <w:rPr>
          <w:rFonts w:hint="eastAsia" w:ascii="仿宋_GB2312"/>
          <w:szCs w:val="32"/>
          <w:highlight w:val="none"/>
        </w:rPr>
        <w:t>.高新区（马金铺）片区社会事务经费（司法类）支出7万元，用于拨付高新区（马金铺）司法所司法类经费。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/>
          <w:b w:val="0"/>
          <w:bCs w:val="0"/>
          <w:szCs w:val="32"/>
          <w:highlight w:val="none"/>
        </w:rPr>
      </w:pPr>
      <w:r>
        <w:rPr>
          <w:rFonts w:hint="eastAsia" w:ascii="仿宋_GB2312"/>
          <w:b w:val="0"/>
          <w:bCs w:val="0"/>
          <w:szCs w:val="32"/>
          <w:highlight w:val="none"/>
        </w:rPr>
        <w:t>（2）专项转移支付项目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1.昆明市2020年人民调解“以奖代补”配套经费支出</w:t>
      </w:r>
      <w:r>
        <w:rPr>
          <w:rFonts w:hint="eastAsia" w:ascii="仿宋_GB2312"/>
          <w:szCs w:val="32"/>
          <w:highlight w:val="none"/>
          <w:lang w:val="en-US" w:eastAsia="zh-CN"/>
        </w:rPr>
        <w:t>35.88</w:t>
      </w:r>
      <w:r>
        <w:rPr>
          <w:rFonts w:hint="eastAsia" w:ascii="仿宋_GB2312"/>
          <w:szCs w:val="32"/>
          <w:highlight w:val="none"/>
        </w:rPr>
        <w:t>万元，用于</w:t>
      </w:r>
      <w:r>
        <w:rPr>
          <w:rFonts w:hint="eastAsia" w:ascii="仿宋_GB2312"/>
          <w:szCs w:val="32"/>
          <w:highlight w:val="none"/>
          <w:lang w:eastAsia="zh-CN"/>
        </w:rPr>
        <w:t>人民调解“以奖代补”案件补贴兑付</w:t>
      </w:r>
      <w:r>
        <w:rPr>
          <w:rFonts w:hint="eastAsia" w:ascii="仿宋_GB231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2.2021年司法系统中央政法纪检监察转移支付（基本补助）经费支出</w:t>
      </w:r>
      <w:r>
        <w:rPr>
          <w:rFonts w:hint="eastAsia" w:ascii="仿宋_GB2312"/>
          <w:szCs w:val="32"/>
          <w:highlight w:val="none"/>
          <w:lang w:val="en-US" w:eastAsia="zh-CN"/>
        </w:rPr>
        <w:t>25.16</w:t>
      </w:r>
      <w:r>
        <w:rPr>
          <w:rFonts w:hint="eastAsia" w:ascii="仿宋_GB2312"/>
          <w:szCs w:val="32"/>
          <w:highlight w:val="none"/>
        </w:rPr>
        <w:t>万元，用于普法宣传、法律援助、司法所等基层业务支出</w:t>
      </w:r>
      <w:r>
        <w:rPr>
          <w:rFonts w:hint="eastAsia" w:ascii="仿宋_GB2312"/>
          <w:szCs w:val="32"/>
          <w:highlight w:val="none"/>
          <w:lang w:eastAsia="zh-CN"/>
        </w:rPr>
        <w:t>和购买办公设备及执法执勤用车相关费用支出</w:t>
      </w:r>
      <w:r>
        <w:rPr>
          <w:rFonts w:hint="eastAsia" w:ascii="仿宋_GB231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3.2021年度司法系统省级政法纪检监察转移支付资金（社会力量参与司法所业务试点补助和基本补助）经费支出</w:t>
      </w:r>
      <w:r>
        <w:rPr>
          <w:rFonts w:hint="eastAsia" w:ascii="仿宋_GB2312"/>
          <w:szCs w:val="32"/>
          <w:highlight w:val="none"/>
          <w:lang w:val="en-US" w:eastAsia="zh-CN"/>
        </w:rPr>
        <w:t>15.6</w:t>
      </w:r>
      <w:r>
        <w:rPr>
          <w:rFonts w:hint="eastAsia" w:ascii="仿宋_GB2312"/>
          <w:szCs w:val="32"/>
          <w:highlight w:val="none"/>
        </w:rPr>
        <w:t>万元，</w:t>
      </w:r>
      <w:r>
        <w:rPr>
          <w:rFonts w:hint="eastAsia" w:ascii="仿宋_GB2312"/>
          <w:szCs w:val="32"/>
          <w:highlight w:val="none"/>
          <w:lang w:eastAsia="zh-CN"/>
        </w:rPr>
        <w:t>用于社会力量参与司法所业务项目试点工作经费支出13.9万元；购买社区矫正交通保障电动车1.7万元</w:t>
      </w:r>
      <w:r>
        <w:rPr>
          <w:rFonts w:hint="eastAsia" w:ascii="仿宋_GB2312"/>
          <w:szCs w:val="32"/>
          <w:highlight w:val="none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4.2021年中央政法转移支付司法救助经费支出</w:t>
      </w:r>
      <w:r>
        <w:rPr>
          <w:rFonts w:hint="eastAsia" w:ascii="仿宋_GB2312"/>
          <w:szCs w:val="32"/>
          <w:highlight w:val="none"/>
          <w:lang w:val="en-US" w:eastAsia="zh-CN"/>
        </w:rPr>
        <w:t>30</w:t>
      </w:r>
      <w:r>
        <w:rPr>
          <w:rFonts w:hint="eastAsia" w:ascii="仿宋_GB2312"/>
          <w:szCs w:val="32"/>
          <w:highlight w:val="none"/>
        </w:rPr>
        <w:t>万元，用于拨付给涉及司法救助业务部门司法救助；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5.2021年度司法行政机关中央和省级政法纪检监察转移支付（法治文化广场项目和法律援助补助经费）专项资金支出</w:t>
      </w:r>
      <w:r>
        <w:rPr>
          <w:rFonts w:hint="eastAsia" w:ascii="仿宋_GB2312"/>
          <w:szCs w:val="32"/>
          <w:highlight w:val="none"/>
          <w:lang w:val="en-US" w:eastAsia="zh-CN"/>
        </w:rPr>
        <w:t>22.52</w:t>
      </w:r>
      <w:r>
        <w:rPr>
          <w:rFonts w:hint="eastAsia" w:ascii="仿宋_GB2312"/>
          <w:szCs w:val="32"/>
          <w:highlight w:val="none"/>
        </w:rPr>
        <w:t>万元，用于</w:t>
      </w:r>
      <w:r>
        <w:rPr>
          <w:rFonts w:hint="eastAsia" w:ascii="仿宋_GB2312"/>
          <w:szCs w:val="32"/>
          <w:highlight w:val="none"/>
          <w:lang w:eastAsia="zh-CN"/>
        </w:rPr>
        <w:t>兑付法律援助案件补贴</w:t>
      </w:r>
      <w:r>
        <w:rPr>
          <w:rFonts w:hint="eastAsia" w:ascii="仿宋_GB2312"/>
          <w:szCs w:val="32"/>
          <w:highlight w:val="none"/>
          <w:lang w:val="en-US" w:eastAsia="zh-CN"/>
        </w:rPr>
        <w:t>2.52万元，其余20万元用于法治文化广场建设支出</w:t>
      </w:r>
      <w:r>
        <w:rPr>
          <w:rFonts w:hint="eastAsia" w:ascii="仿宋_GB231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6.（2020年结转）司法系统中央和省级纪检监察转移支付资金社矫“矫务通”试点、交通装备经费支出</w:t>
      </w:r>
      <w:r>
        <w:rPr>
          <w:rFonts w:hint="eastAsia" w:ascii="仿宋_GB2312"/>
          <w:szCs w:val="32"/>
          <w:highlight w:val="none"/>
          <w:lang w:val="en-US" w:eastAsia="zh-CN"/>
        </w:rPr>
        <w:t>11.51</w:t>
      </w:r>
      <w:r>
        <w:rPr>
          <w:rFonts w:hint="eastAsia" w:ascii="仿宋_GB2312"/>
          <w:szCs w:val="32"/>
          <w:highlight w:val="none"/>
        </w:rPr>
        <w:t>万元，用于</w:t>
      </w:r>
      <w:r>
        <w:rPr>
          <w:rFonts w:hint="eastAsia" w:ascii="仿宋_GB2312"/>
          <w:szCs w:val="32"/>
          <w:highlight w:val="none"/>
          <w:lang w:eastAsia="zh-CN"/>
        </w:rPr>
        <w:t>支付“智慧矫正”矫务通试点建设等</w:t>
      </w:r>
      <w:r>
        <w:rPr>
          <w:rFonts w:hint="eastAsia" w:ascii="仿宋_GB231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7.（2020年结转）下达省提前下达2020年司法系统中央政法纪检监察转移支付资金（业务装备费）经费支出</w:t>
      </w:r>
      <w:r>
        <w:rPr>
          <w:rFonts w:hint="eastAsia" w:ascii="仿宋_GB2312"/>
          <w:szCs w:val="32"/>
          <w:highlight w:val="none"/>
          <w:lang w:val="en-US" w:eastAsia="zh-CN"/>
        </w:rPr>
        <w:t>10.92</w:t>
      </w:r>
      <w:r>
        <w:rPr>
          <w:rFonts w:hint="eastAsia" w:ascii="仿宋_GB2312"/>
          <w:szCs w:val="32"/>
          <w:highlight w:val="none"/>
        </w:rPr>
        <w:t>万元，用于</w:t>
      </w:r>
      <w:r>
        <w:rPr>
          <w:rFonts w:hint="eastAsia" w:ascii="仿宋_GB2312"/>
          <w:szCs w:val="32"/>
          <w:highlight w:val="none"/>
          <w:lang w:eastAsia="zh-CN"/>
        </w:rPr>
        <w:t>购买执法执勤用车及社区矫正执法电动车</w:t>
      </w:r>
      <w:r>
        <w:rPr>
          <w:rFonts w:hint="eastAsia" w:ascii="仿宋_GB231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8.（2020年结转）2020年司法系统省级政法纪检监察转移支付资金业务装备经费支出</w:t>
      </w:r>
      <w:r>
        <w:rPr>
          <w:rFonts w:hint="eastAsia" w:ascii="仿宋_GB2312"/>
          <w:szCs w:val="32"/>
          <w:highlight w:val="none"/>
          <w:lang w:val="en-US" w:eastAsia="zh-CN"/>
        </w:rPr>
        <w:t>3.3</w:t>
      </w:r>
      <w:r>
        <w:rPr>
          <w:rFonts w:hint="eastAsia" w:ascii="仿宋_GB2312"/>
          <w:szCs w:val="32"/>
          <w:highlight w:val="none"/>
        </w:rPr>
        <w:t>万元，用于</w:t>
      </w:r>
      <w:r>
        <w:rPr>
          <w:rFonts w:hint="eastAsia" w:ascii="仿宋_GB2312"/>
          <w:szCs w:val="32"/>
          <w:highlight w:val="none"/>
          <w:lang w:eastAsia="zh-CN"/>
        </w:rPr>
        <w:t>购买执法执勤用车相关费用</w:t>
      </w:r>
      <w:r>
        <w:rPr>
          <w:rFonts w:hint="eastAsia" w:ascii="仿宋_GB231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9.（2020年结转）社区矫正人员监管补助经费支出</w:t>
      </w:r>
      <w:r>
        <w:rPr>
          <w:rFonts w:hint="eastAsia" w:ascii="仿宋_GB2312"/>
          <w:szCs w:val="32"/>
          <w:highlight w:val="none"/>
          <w:lang w:val="en-US" w:eastAsia="zh-CN"/>
        </w:rPr>
        <w:t>5.29</w:t>
      </w:r>
      <w:r>
        <w:rPr>
          <w:rFonts w:hint="eastAsia" w:ascii="仿宋_GB2312"/>
          <w:szCs w:val="32"/>
          <w:highlight w:val="none"/>
        </w:rPr>
        <w:t>万元，用于支付社区矫正定位手环租赁、社区矫正管理系统平台专线网络、矫正系统执法管理平台使用费；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10.（2020年结转）社区矫正管理信息系统及电子定位腕带试点工作补助经费支出</w:t>
      </w:r>
      <w:r>
        <w:rPr>
          <w:rFonts w:hint="eastAsia" w:ascii="仿宋_GB2312"/>
          <w:szCs w:val="32"/>
          <w:highlight w:val="none"/>
          <w:lang w:val="en-US" w:eastAsia="zh-CN"/>
        </w:rPr>
        <w:t>1.68</w:t>
      </w:r>
      <w:r>
        <w:rPr>
          <w:rFonts w:hint="eastAsia" w:ascii="仿宋_GB2312"/>
          <w:szCs w:val="32"/>
          <w:highlight w:val="none"/>
        </w:rPr>
        <w:t>万元，用于支付社区矫正定位手环租赁费；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11.（2020年结转）司法系统中央和省级政法纪检监察转移支付资金业务装备经费支出</w:t>
      </w:r>
      <w:r>
        <w:rPr>
          <w:rFonts w:hint="eastAsia" w:ascii="仿宋_GB2312"/>
          <w:szCs w:val="32"/>
          <w:highlight w:val="none"/>
          <w:lang w:val="en-US" w:eastAsia="zh-CN"/>
        </w:rPr>
        <w:t>2.38</w:t>
      </w:r>
      <w:r>
        <w:rPr>
          <w:rFonts w:hint="eastAsia" w:ascii="仿宋_GB2312"/>
          <w:szCs w:val="32"/>
          <w:highlight w:val="none"/>
        </w:rPr>
        <w:t>万元，用于</w:t>
      </w:r>
      <w:r>
        <w:rPr>
          <w:rFonts w:hint="eastAsia" w:ascii="仿宋_GB2312"/>
          <w:szCs w:val="32"/>
          <w:highlight w:val="none"/>
          <w:lang w:eastAsia="zh-CN"/>
        </w:rPr>
        <w:t>购买执法执勤用车及社区矫正执法电动车</w:t>
      </w:r>
      <w:r>
        <w:rPr>
          <w:rFonts w:hint="eastAsia" w:ascii="仿宋_GB231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12.2021年省下司法系统干警服装经费</w:t>
      </w:r>
      <w:r>
        <w:rPr>
          <w:rFonts w:hint="eastAsia" w:ascii="仿宋_GB2312"/>
          <w:szCs w:val="32"/>
          <w:highlight w:val="none"/>
          <w:lang w:eastAsia="zh-CN"/>
        </w:rPr>
        <w:t>支出</w:t>
      </w:r>
      <w:r>
        <w:rPr>
          <w:rFonts w:hint="eastAsia" w:ascii="仿宋_GB2312"/>
          <w:szCs w:val="32"/>
          <w:highlight w:val="none"/>
          <w:lang w:val="en-US" w:eastAsia="zh-CN"/>
        </w:rPr>
        <w:t>0.2</w:t>
      </w:r>
      <w:r>
        <w:rPr>
          <w:rFonts w:hint="eastAsia" w:ascii="仿宋_GB2312"/>
          <w:szCs w:val="32"/>
          <w:highlight w:val="none"/>
        </w:rPr>
        <w:t>万元</w:t>
      </w:r>
      <w:r>
        <w:rPr>
          <w:rFonts w:hint="eastAsia" w:ascii="仿宋_GB2312"/>
          <w:szCs w:val="32"/>
          <w:highlight w:val="none"/>
          <w:lang w:eastAsia="zh-CN"/>
        </w:rPr>
        <w:t>，用于购买司法干警服装</w:t>
      </w:r>
      <w:r>
        <w:rPr>
          <w:rFonts w:hint="eastAsia" w:ascii="仿宋_GB231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13.2021年司法系统中央政法纪检监察转移支付（重点工作经费和法援经费）专项资金支出</w:t>
      </w:r>
      <w:r>
        <w:rPr>
          <w:rFonts w:hint="eastAsia" w:ascii="仿宋_GB2312"/>
          <w:szCs w:val="32"/>
          <w:highlight w:val="none"/>
          <w:lang w:val="en-US" w:eastAsia="zh-CN"/>
        </w:rPr>
        <w:t>45.92</w:t>
      </w:r>
      <w:r>
        <w:rPr>
          <w:rFonts w:hint="eastAsia" w:ascii="仿宋_GB2312"/>
          <w:szCs w:val="32"/>
          <w:highlight w:val="none"/>
        </w:rPr>
        <w:t>万元，用于支付全省司法行政业务承载网租费及视讯平台建设经费7.98万元；“云智调”系统配套建设经费2.69万元；社区矫正监管经费4.39万元；法律援助案件补贴兑付20.25万元；公共法律服务热线、网络、实体平台法律咨询服务支出8.77万元；诉前委派调解服务中心试点建设项目支出1.84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/>
          <w:szCs w:val="32"/>
          <w:highlight w:val="none"/>
          <w:lang w:val="en-US" w:eastAsia="zh-CN"/>
        </w:rPr>
      </w:pPr>
      <w:r>
        <w:rPr>
          <w:rFonts w:hint="eastAsia" w:ascii="仿宋_GB2312"/>
          <w:szCs w:val="32"/>
          <w:highlight w:val="none"/>
          <w:lang w:val="en-US" w:eastAsia="zh-CN"/>
        </w:rPr>
        <w:t>14.2021年省对下（法援及大学生志愿者）司法专项资金支出4.41万元，用于兑付法律援助案件补贴1.41万元，其余3万元为大学生志愿者项目支出。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楷体_GB2312" w:hAnsi="楷体_GB2312" w:eastAsia="楷体_GB2312" w:cs="楷体_GB231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Cs w:val="32"/>
          <w:highlight w:val="none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Cs w:val="32"/>
          <w:highlight w:val="none"/>
        </w:rPr>
        <w:t>项目资金管理情况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cs="仿宋_GB2312"/>
          <w:szCs w:val="32"/>
          <w:highlight w:val="none"/>
          <w:lang w:eastAsia="zh-CN"/>
        </w:rPr>
      </w:pPr>
      <w:r>
        <w:rPr>
          <w:rFonts w:hint="eastAsia" w:ascii="仿宋_GB2312" w:hAnsi="仿宋_GB2312" w:cs="仿宋_GB2312"/>
          <w:szCs w:val="32"/>
          <w:highlight w:val="none"/>
          <w:lang w:eastAsia="zh-CN"/>
        </w:rPr>
        <w:t>本次绩效评价范围内的项目资金属于专款专用资金，每次大额资金的使用都是由呈贡区司法局党组会、行政办公会研究讨论，再由财务人员根据实际情况进行支付申请，严格执行国库集中支付制度，公务卡结算制度和政府采购制度等规定，按项目资金使用用途实施，确保预期目标实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  <w:lang w:eastAsia="zh-CN"/>
        </w:rPr>
        <w:t>我局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对财政资金的使用实行</w:t>
      </w:r>
      <w:r>
        <w:rPr>
          <w:rFonts w:hint="eastAsia" w:ascii="仿宋_GB2312" w:hAnsi="仿宋_GB2312" w:cs="仿宋_GB2312"/>
          <w:szCs w:val="32"/>
          <w:highlight w:val="none"/>
          <w:lang w:eastAsia="zh-CN"/>
        </w:rPr>
        <w:t>财务分管领导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“一支笔”审批制，财务管理严格依法依规，做到公开公平公正，严格执行各项有关法律法规、财经纪律、财务规章制度，按照预算管理工作要求，建立完善的管理体系，严格按照预算批复组织实施，在预算执行中开展目标运行的跟踪监控，确保预算预期目标的实现，不断提高财政资金的管理水平和财政资金的使用效率和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黑体" w:eastAsia="黑体"/>
          <w:szCs w:val="32"/>
          <w:highlight w:val="none"/>
          <w:lang w:eastAsia="zh-CN"/>
        </w:rPr>
      </w:pPr>
      <w:r>
        <w:rPr>
          <w:rFonts w:hint="eastAsia" w:ascii="黑体" w:eastAsia="黑体"/>
          <w:szCs w:val="32"/>
          <w:highlight w:val="none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楷体_GB2312" w:hAnsi="楷体_GB2312" w:eastAsia="楷体_GB2312" w:cs="楷体_GB231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Cs w:val="32"/>
          <w:highlight w:val="none"/>
        </w:rPr>
        <w:t>（一）绩效评价目的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通过开展绩效评价工作，在资金使用过程中加强监督监管，确保资金使用用途合规，专款专用，督促各项工作进度，加快资金支付执行进度，提高资金使用效率最大化。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楷体_GB2312" w:hAnsi="楷体_GB2312" w:eastAsia="楷体_GB2312" w:cs="楷体_GB231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Cs w:val="32"/>
          <w:highlight w:val="none"/>
        </w:rPr>
        <w:t>（二）绩效评价原则、评价方法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1.绩效评价原则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我局绩效评价严格执行规定程序，按照科学规范、公正公开、分级分类等原则进行绩效评价。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2.绩效评价方法：采用比较法、因素分析法等。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楷体_GB2312" w:hAnsi="楷体_GB2312" w:eastAsia="楷体_GB2312" w:cs="楷体_GB231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Cs w:val="32"/>
          <w:highlight w:val="none"/>
        </w:rPr>
        <w:t>（三）绩效评价工作过程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1.前期准备：根据呈贡区财政局文件要求，呈贡区司法局及时组织开展202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年度区级预算支出绩效自评工作。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 xml:space="preserve">2.组织实施：评价小组按要求梳理了需要开展绩效评价的项目，采取座谈等方式听取情况，检查项目支出有关账目，收集整理支出相关资料。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3.分析评价：围绕各项目资金数额、使用用途、范围、支付进度、项目内容、质量等进行分析评价，形成了评价结论。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ascii="黑体" w:eastAsia="黑体"/>
          <w:szCs w:val="32"/>
          <w:highlight w:val="none"/>
        </w:rPr>
      </w:pPr>
      <w:r>
        <w:rPr>
          <w:rFonts w:hint="eastAsia" w:ascii="黑体" w:eastAsia="黑体"/>
          <w:szCs w:val="32"/>
          <w:highlight w:val="none"/>
          <w:lang w:eastAsia="zh-CN"/>
        </w:rPr>
        <w:t>四</w:t>
      </w:r>
      <w:r>
        <w:rPr>
          <w:rFonts w:hint="eastAsia" w:ascii="黑体" w:eastAsia="黑体"/>
          <w:szCs w:val="32"/>
          <w:highlight w:val="none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楷体_GB2312" w:hAnsi="楷体_GB2312" w:eastAsia="楷体_GB2312" w:cs="楷体_GB231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szCs w:val="32"/>
          <w:highlight w:val="none"/>
          <w:lang w:eastAsia="zh-CN"/>
        </w:rPr>
        <w:t>一</w:t>
      </w:r>
      <w:r>
        <w:rPr>
          <w:rFonts w:hint="eastAsia" w:ascii="楷体_GB2312" w:hAnsi="楷体_GB2312" w:eastAsia="楷体_GB2312" w:cs="楷体_GB2312"/>
          <w:szCs w:val="32"/>
          <w:highlight w:val="none"/>
        </w:rPr>
        <w:t>）项目实施情况分析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我局项目经济效益指标是确保资金使用合理合规，加强保障呈贡区经济发展，创造良好环境。社会效益指标是不断提升司法行政各项业务工作能力，对全区依法治区工作完成情况进行督查，督促各单位完成依法治区各项工作任务，充分化解矛盾纠纷，加强律师培训，保证弱势群体应援尽援，维护呈贡区和谐稳定；生态效益指标是创造良好环境，保障人民群众安居乐业；可持续指标是维护社会政治稳定，不断提高公众安全感和满意度，做到人民群众满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1.项目组织情况分析：结合工作实际提前做好项目规划，明确分管领导和责任科室，按进度组织项目工程实施。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2.项目管理情况分析：及时督促项目进度，根据工程进度分步进行资金支付，并在项目完成后进行结算审计，确保工程内容及质量。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楷体_GB2312" w:hAnsi="楷体_GB2312" w:eastAsia="楷体_GB2312" w:cs="楷体_GB231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szCs w:val="32"/>
          <w:highlight w:val="none"/>
          <w:lang w:eastAsia="zh-CN"/>
        </w:rPr>
        <w:t>二</w:t>
      </w:r>
      <w:r>
        <w:rPr>
          <w:rFonts w:hint="eastAsia" w:ascii="楷体_GB2312" w:hAnsi="楷体_GB2312" w:eastAsia="楷体_GB2312" w:cs="楷体_GB2312"/>
          <w:szCs w:val="32"/>
          <w:highlight w:val="none"/>
        </w:rPr>
        <w:t>）项目绩效情况分析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 xml:space="preserve">1.项目经济性分析：以上资金总体预算执行率执行率100%，无超预算支出情况。年初预算部分资金未支出，主要是中央转移支付资金，由于受疫情影响，无法组织集中教育、集中培训等，且由于部分上级资金因工作跨年开展，无法在当年进行支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2.项目的效率性分析：在资金使用过程中，按照各项目内容实施进度分项进行支付，按预期完成项目进度，到达预期目标。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3.项目的效益型分析：各项目经费专款专用，用于开展公共法律服务实体平台建设，公证及律师管理日常工作支出；搭建矫正管理系统平台专线网络、矫正系统执法管理平台；开展社区矫正基地场地管养及完善相关设施；开展“法治学校”、“诚信守法企业”等创建活动，“法律六进”、“法治文化”示范点创建，“青少年法治教育基地”及“法治主题公园观摩点”维护、更新；用于“法律六进”、普法专题日、专项普法等活动制作宣传资料、宣传用品等；组织开展全区普法骨干业务培训、“以案释法”及“菜单式”普法活动；打造社区法治文化宣传长廊；印制发放“中小学生法治宣传教育作业本”；指导督促各责任部门落实2020年依法治区各项工作，并做好日常管理及考核工作；及时兑付法律援助案件补贴，印制宣传资料进行法律援助宣传，及时兑付“以奖代补”案件补贴，打造规范化社区调解委员会等，更好的为群众提供法律服务，有效维护社会稳定，为保障新区建设顺利推进发挥积极作用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ascii="黑体" w:eastAsia="黑体"/>
          <w:szCs w:val="32"/>
          <w:highlight w:val="none"/>
        </w:rPr>
      </w:pPr>
      <w:r>
        <w:rPr>
          <w:rFonts w:hint="eastAsia" w:ascii="黑体" w:eastAsia="黑体"/>
          <w:szCs w:val="32"/>
          <w:highlight w:val="none"/>
          <w:lang w:eastAsia="zh-CN"/>
        </w:rPr>
        <w:t>五</w:t>
      </w:r>
      <w:r>
        <w:rPr>
          <w:rFonts w:hint="eastAsia" w:ascii="黑体" w:eastAsia="黑体"/>
          <w:szCs w:val="32"/>
          <w:highlight w:val="none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楷体_GB2312" w:hAnsi="楷体_GB2312" w:eastAsia="楷体_GB2312" w:cs="楷体_GB231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Cs w:val="32"/>
          <w:highlight w:val="none"/>
        </w:rPr>
        <w:t>（一）专项管理方面的问题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专项立项依据充分</w:t>
      </w:r>
      <w:r>
        <w:rPr>
          <w:rFonts w:hint="eastAsia" w:ascii="仿宋_GB2312"/>
          <w:szCs w:val="32"/>
          <w:highlight w:val="none"/>
          <w:lang w:eastAsia="zh-CN"/>
        </w:rPr>
        <w:t>，按照相关文件及上级工作要求进行项目预算编制</w:t>
      </w:r>
      <w:r>
        <w:rPr>
          <w:rFonts w:hint="eastAsia" w:ascii="仿宋_GB2312"/>
          <w:szCs w:val="32"/>
          <w:highlight w:val="none"/>
        </w:rPr>
        <w:t>；</w:t>
      </w:r>
      <w:r>
        <w:rPr>
          <w:rFonts w:hint="eastAsia" w:ascii="仿宋_GB2312"/>
          <w:szCs w:val="32"/>
          <w:highlight w:val="none"/>
          <w:lang w:eastAsia="zh-CN"/>
        </w:rPr>
        <w:t>有</w:t>
      </w:r>
      <w:r>
        <w:rPr>
          <w:rFonts w:hint="eastAsia" w:ascii="仿宋_GB2312"/>
          <w:szCs w:val="32"/>
          <w:highlight w:val="none"/>
        </w:rPr>
        <w:t>资金管理办法</w:t>
      </w:r>
      <w:r>
        <w:rPr>
          <w:rFonts w:hint="eastAsia" w:ascii="仿宋_GB2312"/>
          <w:szCs w:val="32"/>
          <w:highlight w:val="none"/>
          <w:lang w:eastAsia="zh-CN"/>
        </w:rPr>
        <w:t>并且</w:t>
      </w:r>
      <w:r>
        <w:rPr>
          <w:rFonts w:hint="eastAsia" w:ascii="仿宋_GB2312"/>
          <w:szCs w:val="32"/>
          <w:highlight w:val="none"/>
        </w:rPr>
        <w:t>资金管理办法规范</w:t>
      </w:r>
      <w:r>
        <w:rPr>
          <w:rFonts w:hint="eastAsia" w:ascii="仿宋_GB2312"/>
          <w:szCs w:val="32"/>
          <w:highlight w:val="none"/>
          <w:lang w:eastAsia="zh-CN"/>
        </w:rPr>
        <w:t>，</w:t>
      </w:r>
      <w:r>
        <w:rPr>
          <w:rFonts w:hint="eastAsia" w:ascii="仿宋_GB2312"/>
          <w:szCs w:val="32"/>
          <w:highlight w:val="none"/>
        </w:rPr>
        <w:t>严格执行各项有关法律法规、财经纪律、财务规章制度，按照预算管理工作要求</w:t>
      </w:r>
      <w:r>
        <w:rPr>
          <w:rFonts w:hint="eastAsia" w:ascii="仿宋_GB2312"/>
          <w:szCs w:val="32"/>
          <w:highlight w:val="none"/>
          <w:lang w:eastAsia="zh-CN"/>
        </w:rPr>
        <w:t>，合理支付项目经费</w:t>
      </w:r>
      <w:r>
        <w:rPr>
          <w:rFonts w:hint="eastAsia" w:ascii="仿宋_GB2312"/>
          <w:szCs w:val="32"/>
          <w:highlight w:val="none"/>
        </w:rPr>
        <w:t>。</w:t>
      </w:r>
      <w:r>
        <w:rPr>
          <w:rFonts w:hint="eastAsia" w:ascii="仿宋_GB2312"/>
          <w:szCs w:val="32"/>
          <w:highlight w:val="none"/>
          <w:lang w:eastAsia="zh-CN"/>
        </w:rPr>
        <w:t>不存在专项管理方面的问题。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楷体_GB2312" w:hAnsi="楷体_GB2312" w:eastAsia="楷体_GB2312" w:cs="楷体_GB231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Cs w:val="32"/>
          <w:highlight w:val="none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Cs w:val="32"/>
          <w:highlight w:val="none"/>
        </w:rPr>
        <w:t>资金分配方面的问题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资金分配合理，突出重点，公平公正；无散小差现象；资金分配和使用方向与资金管理办法相符。</w:t>
      </w:r>
      <w:r>
        <w:rPr>
          <w:rFonts w:hint="eastAsia" w:ascii="仿宋_GB2312"/>
          <w:szCs w:val="32"/>
          <w:highlight w:val="none"/>
          <w:lang w:eastAsia="zh-CN"/>
        </w:rPr>
        <w:t>不存在资金分配方面的问题。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楷体_GB2312" w:hAnsi="楷体_GB2312" w:eastAsia="楷体_GB2312" w:cs="楷体_GB231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Cs w:val="32"/>
          <w:highlight w:val="none"/>
          <w:lang w:eastAsia="zh-CN"/>
        </w:rPr>
        <w:t>（三）资金拨付方面的问题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 w:eastAsia="仿宋_GB2312"/>
          <w:szCs w:val="32"/>
          <w:highlight w:val="none"/>
          <w:lang w:val="en-US" w:eastAsia="zh-CN"/>
        </w:rPr>
      </w:pPr>
      <w:r>
        <w:rPr>
          <w:rFonts w:hint="eastAsia" w:ascii="仿宋_GB2312"/>
          <w:szCs w:val="32"/>
          <w:highlight w:val="none"/>
          <w:lang w:val="en-US" w:eastAsia="zh-CN"/>
        </w:rPr>
        <w:t xml:space="preserve">  资金拨付及时，无</w:t>
      </w:r>
      <w:r>
        <w:rPr>
          <w:rFonts w:hint="eastAsia" w:ascii="仿宋_GB2312"/>
          <w:szCs w:val="32"/>
          <w:highlight w:val="none"/>
        </w:rPr>
        <w:t>滞留、闲置等现象。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楷体_GB2312" w:hAnsi="楷体_GB2312" w:eastAsia="楷体_GB2312" w:cs="楷体_GB231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Cs w:val="32"/>
          <w:highlight w:val="none"/>
          <w:lang w:eastAsia="zh-CN"/>
        </w:rPr>
        <w:t>（四）资金使用方面的问题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891" w:firstLineChars="300"/>
        <w:jc w:val="both"/>
        <w:textAlignment w:val="auto"/>
        <w:rPr>
          <w:rFonts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资金使用合规，无截留、挪用等现象</w:t>
      </w:r>
      <w:r>
        <w:rPr>
          <w:rFonts w:hint="eastAsia" w:ascii="仿宋_GB231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ascii="黑体" w:eastAsia="黑体"/>
          <w:szCs w:val="32"/>
          <w:highlight w:val="none"/>
        </w:rPr>
      </w:pPr>
      <w:r>
        <w:rPr>
          <w:rFonts w:hint="eastAsia" w:ascii="黑体" w:eastAsia="黑体"/>
          <w:szCs w:val="32"/>
          <w:highlight w:val="none"/>
          <w:lang w:eastAsia="zh-CN"/>
        </w:rPr>
        <w:t>六</w:t>
      </w:r>
      <w:r>
        <w:rPr>
          <w:rFonts w:hint="eastAsia" w:ascii="黑体" w:eastAsia="黑体"/>
          <w:szCs w:val="32"/>
          <w:highlight w:val="none"/>
        </w:rPr>
        <w:t>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楷体_GB2312" w:hAnsi="楷体_GB2312" w:eastAsia="楷体_GB2312" w:cs="楷体_GB231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Cs w:val="32"/>
          <w:highlight w:val="none"/>
          <w:lang w:eastAsia="zh-CN"/>
        </w:rPr>
        <w:t>（一）后续工作计划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我局将综合202</w:t>
      </w:r>
      <w:r>
        <w:rPr>
          <w:rFonts w:hint="eastAsia" w:ascii="仿宋_GB2312"/>
          <w:szCs w:val="32"/>
          <w:highlight w:val="none"/>
          <w:lang w:val="en-US" w:eastAsia="zh-CN"/>
        </w:rPr>
        <w:t>1</w:t>
      </w:r>
      <w:r>
        <w:rPr>
          <w:rFonts w:hint="eastAsia" w:ascii="仿宋_GB2312"/>
          <w:szCs w:val="32"/>
          <w:highlight w:val="none"/>
        </w:rPr>
        <w:t>年度呈贡区司法局财政预算项目绩效评价情况，强化以后年度的资金预算安排，并将绩效评价情况按要求予以公开，接受监督。制订年度项目资金预算方案前，认真做好每个项目的绩效目标分析，每月向领导班子汇报资金使用情况，以便及时作出调整，实现项目资金利用效率最大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 w:ascii="楷体_GB2312" w:hAnsi="楷体_GB2312" w:eastAsia="楷体_GB2312" w:cs="楷体_GB231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Cs w:val="32"/>
          <w:highlight w:val="none"/>
          <w:lang w:eastAsia="zh-CN"/>
        </w:rPr>
        <w:t>（二）主要经验做法、改进措施和有关建议等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1.主</w:t>
      </w:r>
      <w:r>
        <w:rPr>
          <w:rFonts w:hint="eastAsia"/>
          <w:highlight w:val="none"/>
        </w:rPr>
        <w:t xml:space="preserve">要经验及做法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领导重视，责任明确，定期召开行政办公会或党组会，研究讨论项目实施方案及资金来源，做好项目方面的组织协调、监督督促的各项工作，控制项目成本，加快项目进度，确保资金安全，保证项目质量，使得资金发挥最大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2.改进</w:t>
      </w:r>
      <w:r>
        <w:rPr>
          <w:rFonts w:hint="eastAsia"/>
          <w:highlight w:val="none"/>
        </w:rPr>
        <w:t>措施和有关建议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项目在实施过程，对项目制定相关的管理制度还不够完善。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  <w:lang w:eastAsia="zh-CN"/>
        </w:rPr>
        <w:t>下一步将</w:t>
      </w:r>
      <w:r>
        <w:rPr>
          <w:rFonts w:hint="eastAsia"/>
          <w:highlight w:val="none"/>
        </w:rPr>
        <w:t>加强项目管理，形成相应的项目管理制度， 做好事前、事中、事后的监督，把事做好、做实；加强项目相关管理人员的专业知识培训，通过培训增强管理人员的项目管理方面的业务知识，对于确保项目的质量和项目的规范管理至关重要。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highlight w:val="none"/>
          <w:lang w:eastAsia="zh-CN"/>
        </w:rPr>
      </w:pPr>
      <w:r>
        <w:rPr>
          <w:rFonts w:hint="eastAsia" w:ascii="仿宋_GB2312" w:hAnsi="仿宋_GB2312" w:cs="仿宋_GB2312"/>
          <w:highlight w:val="none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昆明市</w:t>
      </w:r>
      <w:r>
        <w:rPr>
          <w:sz w:val="32"/>
        </w:rPr>
        <w:pict>
          <v:shape id="_x0000_s1027" o:spid="_x0000_s1027" o:spt="201" type="#_x0000_t201" style="position:absolute;left:0pt;margin-left:327.65pt;margin-top:292.85pt;height:128pt;width:128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CWordOLECtrl1" w:shapeid="_x0000_s1027"/>
        </w:pic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呈贡</w:t>
      </w:r>
      <w:r>
        <w:rPr>
          <w:sz w:val="32"/>
        </w:rPr>
        <w:pict>
          <v:shape id="_x0000_s1026" o:spid="_x0000_s1026" o:spt="201" type="#_x0000_t201" style="position:absolute;left:0pt;margin-left:315.65pt;margin-top:280.85pt;height:128pt;width:128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6" w:name="CWordOLECtrl1" w:shapeid="_x0000_s1026"/>
        </w:pic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cs="仿宋_GB2312"/>
          <w:highlight w:val="none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2022年3月17日</w:t>
      </w: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603F8"/>
    <w:rsid w:val="03E52CDD"/>
    <w:rsid w:val="05AE36CA"/>
    <w:rsid w:val="072B1B94"/>
    <w:rsid w:val="0BE2158B"/>
    <w:rsid w:val="141D32A7"/>
    <w:rsid w:val="1E935320"/>
    <w:rsid w:val="227F07CD"/>
    <w:rsid w:val="22D7110A"/>
    <w:rsid w:val="28D905D5"/>
    <w:rsid w:val="32C4141F"/>
    <w:rsid w:val="378A5996"/>
    <w:rsid w:val="3D6F69C2"/>
    <w:rsid w:val="3E712B8C"/>
    <w:rsid w:val="427D63B8"/>
    <w:rsid w:val="430312D4"/>
    <w:rsid w:val="43FC1EF1"/>
    <w:rsid w:val="44F37D0B"/>
    <w:rsid w:val="5A3C6978"/>
    <w:rsid w:val="5A5D522E"/>
    <w:rsid w:val="67600811"/>
    <w:rsid w:val="732D145B"/>
    <w:rsid w:val="74A72BD3"/>
    <w:rsid w:val="77272FC8"/>
    <w:rsid w:val="7768215A"/>
    <w:rsid w:val="79505809"/>
    <w:rsid w:val="7BC7055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2022-09-28T07:32:25Z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