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6"/>
        </w:tabs>
        <w:spacing w:line="6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ab/>
      </w:r>
      <w:r>
        <w:rPr>
          <w:rFonts w:hint="eastAsia" w:ascii="黑体" w:hAnsi="黑体" w:eastAsia="黑体" w:cs="黑体"/>
          <w:sz w:val="32"/>
          <w:szCs w:val="32"/>
          <w:lang w:val="en-US" w:eastAsia="zh-CN"/>
        </w:rPr>
        <w:t>附件4-2：</w:t>
      </w:r>
    </w:p>
    <w:p>
      <w:pPr>
        <w:tabs>
          <w:tab w:val="left" w:pos="206"/>
        </w:tabs>
        <w:spacing w:line="600" w:lineRule="exact"/>
        <w:jc w:val="left"/>
        <w:rPr>
          <w:rFonts w:hint="eastAsia" w:ascii="黑体" w:hAnsi="黑体" w:eastAsia="黑体" w:cs="黑体"/>
          <w:sz w:val="32"/>
          <w:szCs w:val="32"/>
          <w:lang w:val="en-US" w:eastAsia="zh-CN"/>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呈贡区水库工程观测及工程养护</w:t>
      </w:r>
      <w:r>
        <w:rPr>
          <w:rFonts w:hint="eastAsia" w:ascii="方正小标宋简体" w:hAnsi="方正小标宋简体" w:eastAsia="方正小标宋简体" w:cs="方正小标宋简体"/>
          <w:sz w:val="44"/>
          <w:szCs w:val="44"/>
        </w:rPr>
        <w:t>项目</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支出绩效报告</w:t>
      </w:r>
    </w:p>
    <w:p>
      <w:pPr>
        <w:spacing w:line="600" w:lineRule="exact"/>
        <w:ind w:firstLine="594" w:firstLineChars="200"/>
        <w:rPr>
          <w:rFonts w:ascii="仿宋_GB2312"/>
          <w:b/>
          <w:szCs w:val="32"/>
        </w:rPr>
      </w:pPr>
    </w:p>
    <w:p>
      <w:pPr>
        <w:keepNext w:val="0"/>
        <w:keepLines w:val="0"/>
        <w:pageBreakBefore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ascii="黑体" w:eastAsia="黑体"/>
          <w:szCs w:val="32"/>
        </w:rPr>
      </w:pPr>
      <w:r>
        <w:rPr>
          <w:rFonts w:hint="eastAsia" w:ascii="黑体" w:eastAsia="黑体"/>
          <w:szCs w:val="32"/>
        </w:rPr>
        <w:t>一、项目基本情况</w:t>
      </w:r>
    </w:p>
    <w:p>
      <w:pPr>
        <w:keepNext w:val="0"/>
        <w:keepLines w:val="0"/>
        <w:pageBreakBefore w:val="0"/>
        <w:tabs>
          <w:tab w:val="center" w:pos="4153"/>
        </w:tabs>
        <w:kinsoku/>
        <w:wordWrap/>
        <w:overflow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rPr>
      </w:pPr>
      <w:r>
        <w:rPr>
          <w:rFonts w:hint="eastAsia" w:ascii="仿宋_GB2312"/>
          <w:szCs w:val="32"/>
        </w:rPr>
        <w:t>（一）项目基本情况</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对呈贡区</w:t>
      </w:r>
      <w:r>
        <w:rPr>
          <w:rFonts w:hint="eastAsia" w:ascii="仿宋_GB2312" w:hAnsi="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en-US" w:eastAsia="zh-CN"/>
        </w:rPr>
        <w:t>座水库的大坝工程、输水闸门及启闭件、电路等设备设施进行维修养护工作，消除隐患，提高设施设备安全性能，保证水库运行安全和正常。维修养护内容主要为：1.主体工程维修养护，包括混凝土空蚀剥蚀磨损及裂缝处理、土石坝护坡工程维修、观测设施维修养护等。2.闸门和输水管道维修养护，及增设闸室闸门启闭操作规程及养护制度，警示牌等。3.附属设施维修养护，包括屋顶防水处理，闸室照明设施维修；新增闸门操作平台。4.坝区植被修剪清运，坝上沟渠疏通。5.机油、柴油、黄油物料消耗。</w:t>
      </w:r>
    </w:p>
    <w:p>
      <w:pPr>
        <w:keepNext w:val="0"/>
        <w:keepLines w:val="0"/>
        <w:pageBreakBefore w:val="0"/>
        <w:numPr>
          <w:ilvl w:val="0"/>
          <w:numId w:val="1"/>
        </w:numPr>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szCs w:val="32"/>
        </w:rPr>
      </w:pPr>
      <w:r>
        <w:rPr>
          <w:rFonts w:hint="eastAsia" w:ascii="仿宋_GB2312"/>
          <w:szCs w:val="32"/>
        </w:rPr>
        <w:t>绩效目标设定及指标完成情况。</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完成</w:t>
      </w:r>
      <w:r>
        <w:rPr>
          <w:rFonts w:hint="eastAsia" w:ascii="仿宋_GB2312" w:hAnsi="仿宋_GB2312" w:eastAsia="仿宋_GB2312" w:cs="仿宋_GB2312"/>
          <w:b w:val="0"/>
          <w:bCs w:val="0"/>
          <w:sz w:val="32"/>
          <w:szCs w:val="32"/>
          <w:lang w:val="en-US" w:eastAsia="zh-CN"/>
        </w:rPr>
        <w:t>昆明市呈贡区</w:t>
      </w:r>
      <w:r>
        <w:rPr>
          <w:rFonts w:hint="eastAsia" w:ascii="仿宋_GB2312" w:hAnsi="仿宋_GB2312" w:cs="仿宋_GB2312"/>
          <w:b w:val="0"/>
          <w:bCs w:val="0"/>
          <w:sz w:val="32"/>
          <w:szCs w:val="32"/>
          <w:lang w:val="en-US" w:eastAsia="zh-CN"/>
        </w:rPr>
        <w:t>2021</w:t>
      </w:r>
      <w:r>
        <w:rPr>
          <w:rFonts w:hint="eastAsia" w:ascii="仿宋_GB2312" w:hAnsi="仿宋_GB2312" w:eastAsia="仿宋_GB2312" w:cs="仿宋_GB2312"/>
          <w:b w:val="0"/>
          <w:bCs w:val="0"/>
          <w:sz w:val="32"/>
          <w:szCs w:val="32"/>
          <w:lang w:val="en-US" w:eastAsia="zh-CN"/>
        </w:rPr>
        <w:t>年度水库工程观测及工程养护项目工作。项目主要内容包括：（1）工程维修与养护 ： A、主体工程维修养护； B、闸门维修养护 ；C、启闭机维修养护； D、机电设备维修养护； E、观测设施的维护； F、附属设施维修养护；G、物料动力消耗；H、维修养护资料档案；（2）大坝安全监测范围：定期监测或加测：A、坝面变形观测；B、坝体浸润线观测；C、渗流量观测；D水库水温观测</w:t>
      </w:r>
      <w:r>
        <w:rPr>
          <w:rFonts w:hint="eastAsia" w:ascii="仿宋_GB2312" w:hAnsi="仿宋_GB2312" w:cs="仿宋_GB2312"/>
          <w:b w:val="0"/>
          <w:bCs w:val="0"/>
          <w:sz w:val="32"/>
          <w:szCs w:val="32"/>
          <w:lang w:val="en-US" w:eastAsia="zh-CN"/>
        </w:rPr>
        <w:t>等维修养护内容。</w:t>
      </w:r>
    </w:p>
    <w:p>
      <w:pPr>
        <w:keepNext w:val="0"/>
        <w:keepLines w:val="0"/>
        <w:pageBreakBefore w:val="0"/>
        <w:kinsoku/>
        <w:wordWrap/>
        <w:overflowPunct/>
        <w:topLinePunct/>
        <w:autoSpaceDE/>
        <w:autoSpaceDN/>
        <w:bidi w:val="0"/>
        <w:adjustRightInd/>
        <w:snapToGrid/>
        <w:spacing w:line="560" w:lineRule="exact"/>
        <w:ind w:right="0" w:rightChars="0" w:firstLine="594" w:firstLineChars="200"/>
        <w:jc w:val="both"/>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94" w:firstLineChars="200"/>
        <w:textAlignment w:val="auto"/>
        <w:outlineLvl w:val="9"/>
        <w:rPr>
          <w:rFonts w:hint="default" w:ascii="Times New Roman" w:hAnsi="Times New Roman" w:eastAsia="仿宋_GB2312" w:cs="Times New Roman"/>
          <w:szCs w:val="32"/>
          <w:lang w:val="en-US"/>
        </w:rPr>
      </w:pPr>
      <w:r>
        <w:rPr>
          <w:rFonts w:hint="eastAsia" w:ascii="Times New Roman" w:hAnsi="Times New Roman" w:cs="Times New Roman"/>
          <w:color w:val="000000" w:themeColor="text1"/>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昆明市呈贡区财政局关于批复2021年部门预算的通知</w:t>
      </w:r>
      <w:r>
        <w:rPr>
          <w:rFonts w:hint="eastAsia" w:ascii="Times New Roman" w:hAnsi="Times New Roman" w:cs="Times New Roman"/>
          <w:color w:val="000000" w:themeColor="text1"/>
          <w:szCs w:val="32"/>
          <w:lang w:eastAsia="zh-CN"/>
          <w14:textFill>
            <w14:solidFill>
              <w14:schemeClr w14:val="tx1"/>
            </w14:solidFill>
          </w14:textFill>
        </w:rPr>
        <w:t>》（昆财农〔</w:t>
      </w:r>
      <w:r>
        <w:rPr>
          <w:rFonts w:hint="eastAsia" w:ascii="Times New Roman" w:hAnsi="Times New Roman" w:cs="Times New Roman"/>
          <w:color w:val="000000" w:themeColor="text1"/>
          <w:szCs w:val="32"/>
          <w:lang w:val="en-US" w:eastAsia="zh-CN"/>
          <w14:textFill>
            <w14:solidFill>
              <w14:schemeClr w14:val="tx1"/>
            </w14:solidFill>
          </w14:textFill>
        </w:rPr>
        <w:t>2021</w:t>
      </w:r>
      <w:r>
        <w:rPr>
          <w:rFonts w:hint="eastAsia" w:ascii="Times New Roman" w:hAnsi="Times New Roman" w:cs="Times New Roman"/>
          <w:color w:val="000000" w:themeColor="text1"/>
          <w:szCs w:val="32"/>
          <w:lang w:eastAsia="zh-CN"/>
          <w14:textFill>
            <w14:solidFill>
              <w14:schemeClr w14:val="tx1"/>
            </w14:solidFill>
          </w14:textFill>
        </w:rPr>
        <w:t>〕</w:t>
      </w:r>
      <w:r>
        <w:rPr>
          <w:rFonts w:hint="eastAsia" w:ascii="Times New Roman" w:hAnsi="Times New Roman" w:cs="Times New Roman"/>
          <w:color w:val="000000" w:themeColor="text1"/>
          <w:szCs w:val="32"/>
          <w:lang w:val="en-US" w:eastAsia="zh-CN"/>
          <w14:textFill>
            <w14:solidFill>
              <w14:schemeClr w14:val="tx1"/>
            </w14:solidFill>
          </w14:textFill>
        </w:rPr>
        <w:t>2号</w:t>
      </w:r>
      <w:r>
        <w:rPr>
          <w:rFonts w:hint="eastAsia" w:ascii="Times New Roman" w:hAnsi="Times New Roman" w:cs="Times New Roman"/>
          <w:color w:val="000000" w:themeColor="text1"/>
          <w:szCs w:val="32"/>
          <w:lang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安排落实</w:t>
      </w:r>
      <w:r>
        <w:rPr>
          <w:rFonts w:hint="default" w:ascii="Times New Roman" w:hAnsi="Times New Roman" w:cs="Times New Roman"/>
          <w:color w:val="000000" w:themeColor="text1"/>
          <w:szCs w:val="32"/>
          <w:lang w:val="en-US" w:eastAsia="zh-CN"/>
          <w14:textFill>
            <w14:solidFill>
              <w14:schemeClr w14:val="tx1"/>
            </w14:solidFill>
          </w14:textFill>
        </w:rPr>
        <w:t>资金</w:t>
      </w:r>
      <w:r>
        <w:rPr>
          <w:rFonts w:hint="eastAsia" w:ascii="Times New Roman" w:hAnsi="Times New Roman" w:cs="Times New Roman"/>
          <w:szCs w:val="32"/>
          <w:lang w:val="en-US" w:eastAsia="zh-CN"/>
        </w:rPr>
        <w:t>90.12</w:t>
      </w:r>
      <w:r>
        <w:rPr>
          <w:rFonts w:hint="default" w:ascii="Times New Roman" w:hAnsi="Times New Roman" w:cs="Times New Roman"/>
          <w:szCs w:val="32"/>
          <w:lang w:val="en-US" w:eastAsia="zh-CN"/>
        </w:rPr>
        <w:t>万元，</w:t>
      </w:r>
      <w:r>
        <w:rPr>
          <w:rFonts w:hint="default" w:ascii="Times New Roman" w:hAnsi="Times New Roman" w:eastAsia="仿宋_GB2312" w:cs="Times New Roman"/>
          <w:szCs w:val="32"/>
        </w:rPr>
        <w:t>资金</w:t>
      </w:r>
      <w:r>
        <w:rPr>
          <w:rFonts w:hint="eastAsia" w:ascii="Times New Roman" w:hAnsi="Times New Roman" w:cs="Times New Roman"/>
          <w:szCs w:val="32"/>
          <w:lang w:eastAsia="zh-CN"/>
        </w:rPr>
        <w:t>专项用于</w:t>
      </w:r>
      <w:r>
        <w:rPr>
          <w:rFonts w:hint="eastAsia" w:ascii="仿宋_GB2312" w:hAnsi="仿宋_GB2312" w:eastAsia="仿宋_GB2312" w:cs="仿宋_GB2312"/>
          <w:sz w:val="32"/>
          <w:szCs w:val="32"/>
        </w:rPr>
        <w:t>呈贡区7座水库管理及技术服务</w:t>
      </w:r>
      <w:r>
        <w:rPr>
          <w:rFonts w:hint="eastAsia" w:ascii="仿宋_GB2312" w:hAnsi="仿宋_GB2312" w:eastAsia="仿宋_GB2312" w:cs="仿宋_GB2312"/>
          <w:sz w:val="32"/>
          <w:szCs w:val="32"/>
          <w:lang w:val="en-US" w:eastAsia="zh-CN"/>
        </w:rPr>
        <w:t>,截至目前已拨付项目资金共计67.125万元</w:t>
      </w:r>
      <w:r>
        <w:rPr>
          <w:rFonts w:hint="eastAsia" w:ascii="仿宋_GB2312" w:hAnsi="仿宋_GB2312" w:cs="仿宋_GB2312"/>
          <w:sz w:val="32"/>
          <w:szCs w:val="32"/>
          <w:lang w:val="en-US" w:eastAsia="zh-CN"/>
        </w:rPr>
        <w:t>，</w:t>
      </w:r>
      <w:r>
        <w:rPr>
          <w:rFonts w:hint="eastAsia" w:ascii="仿宋_GB2312" w:hAnsi="仿宋_GB2312" w:eastAsia="仿宋_GB2312" w:cs="仿宋_GB2312"/>
          <w:szCs w:val="32"/>
          <w:lang w:eastAsia="zh-CN"/>
        </w:rPr>
        <w:t>资金支付率</w:t>
      </w:r>
      <w:r>
        <w:rPr>
          <w:rFonts w:hint="eastAsia" w:ascii="仿宋_GB2312" w:hAnsi="仿宋_GB2312" w:cs="仿宋_GB2312"/>
          <w:szCs w:val="32"/>
          <w:lang w:val="en-US" w:eastAsia="zh-CN"/>
        </w:rPr>
        <w:t>75</w:t>
      </w:r>
      <w:r>
        <w:rPr>
          <w:rFonts w:hint="eastAsia" w:ascii="仿宋_GB2312" w:hAnsi="仿宋_GB2312" w:eastAsia="仿宋_GB2312" w:cs="仿宋_GB2312"/>
          <w:szCs w:val="32"/>
          <w:lang w:val="en-US" w:eastAsia="zh-CN"/>
        </w:rPr>
        <w:t>%</w:t>
      </w:r>
      <w:r>
        <w:rPr>
          <w:rFonts w:hint="eastAsia" w:ascii="仿宋_GB2312" w:hAnsi="仿宋_GB2312" w:cs="仿宋_GB2312"/>
          <w:szCs w:val="32"/>
          <w:lang w:val="en-US" w:eastAsia="zh-CN"/>
        </w:rPr>
        <w:t>。</w:t>
      </w:r>
    </w:p>
    <w:p>
      <w:pPr>
        <w:keepNext w:val="0"/>
        <w:keepLines w:val="0"/>
        <w:pageBreakBefore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94" w:firstLineChars="200"/>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val="0"/>
          <w:bCs w:val="0"/>
          <w:sz w:val="32"/>
          <w:szCs w:val="32"/>
          <w:lang w:val="en-US" w:eastAsia="zh-CN"/>
        </w:rPr>
        <w:t>呈贡区</w:t>
      </w:r>
      <w:r>
        <w:rPr>
          <w:rFonts w:hint="eastAsia" w:ascii="仿宋_GB2312" w:hAnsi="仿宋_GB2312" w:cs="仿宋_GB2312"/>
          <w:b w:val="0"/>
          <w:bCs w:val="0"/>
          <w:sz w:val="32"/>
          <w:szCs w:val="32"/>
          <w:lang w:val="en-US" w:eastAsia="zh-CN"/>
        </w:rPr>
        <w:t>7座水库管理及技术服务</w:t>
      </w:r>
      <w:r>
        <w:rPr>
          <w:rFonts w:hint="eastAsia" w:ascii="仿宋_GB2312" w:hAnsi="仿宋_GB2312" w:eastAsia="仿宋_GB2312" w:cs="仿宋_GB2312"/>
          <w:b w:val="0"/>
          <w:bCs w:val="0"/>
          <w:sz w:val="32"/>
          <w:szCs w:val="32"/>
          <w:lang w:val="en-US" w:eastAsia="zh-CN"/>
        </w:rPr>
        <w:t>项目经呈贡区水务局</w:t>
      </w:r>
      <w:r>
        <w:rPr>
          <w:rFonts w:hint="eastAsia" w:ascii="仿宋_GB2312" w:hAnsi="仿宋_GB2312" w:cs="仿宋_GB2312"/>
          <w:b w:val="0"/>
          <w:bCs w:val="0"/>
          <w:sz w:val="32"/>
          <w:szCs w:val="32"/>
          <w:lang w:val="en-US" w:eastAsia="zh-CN"/>
        </w:rPr>
        <w:t>2021</w:t>
      </w:r>
      <w:r>
        <w:rPr>
          <w:rFonts w:hint="eastAsia" w:ascii="仿宋_GB2312" w:hAnsi="仿宋_GB2312" w:eastAsia="仿宋_GB2312" w:cs="仿宋_GB2312"/>
          <w:b w:val="0"/>
          <w:bCs w:val="0"/>
          <w:sz w:val="32"/>
          <w:szCs w:val="32"/>
          <w:lang w:val="en-US" w:eastAsia="zh-CN"/>
        </w:rPr>
        <w:t>年第8次局务会研究同意，于2021年</w:t>
      </w:r>
      <w:r>
        <w:rPr>
          <w:rFonts w:hint="eastAsia" w:ascii="仿宋_GB2312" w:hAnsi="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月</w:t>
      </w:r>
      <w:r>
        <w:rPr>
          <w:rFonts w:hint="eastAsia" w:ascii="仿宋_GB2312" w:hAnsi="仿宋_GB2312" w:cs="仿宋_GB2312"/>
          <w:b w:val="0"/>
          <w:bCs w:val="0"/>
          <w:sz w:val="32"/>
          <w:szCs w:val="32"/>
          <w:lang w:val="en-US" w:eastAsia="zh-CN"/>
        </w:rPr>
        <w:t>26</w:t>
      </w:r>
      <w:r>
        <w:rPr>
          <w:rFonts w:hint="eastAsia" w:ascii="仿宋_GB2312" w:hAnsi="仿宋_GB2312" w:eastAsia="仿宋_GB2312" w:cs="仿宋_GB2312"/>
          <w:b w:val="0"/>
          <w:bCs w:val="0"/>
          <w:sz w:val="32"/>
          <w:szCs w:val="32"/>
          <w:lang w:val="en-US" w:eastAsia="zh-CN"/>
        </w:rPr>
        <w:t>日通过政府购买服务方式，经竞争性谈判最终确定中标单位为</w:t>
      </w:r>
      <w:r>
        <w:rPr>
          <w:rFonts w:hint="eastAsia" w:ascii="仿宋_GB2312" w:hAnsi="仿宋_GB2312" w:eastAsia="仿宋_GB2312" w:cs="仿宋_GB2312"/>
          <w:sz w:val="32"/>
          <w:szCs w:val="32"/>
        </w:rPr>
        <w:t>云南振东建设工程有限公司</w:t>
      </w:r>
      <w:r>
        <w:rPr>
          <w:rFonts w:hint="eastAsia" w:ascii="仿宋_GB2312" w:hAnsi="仿宋_GB2312" w:eastAsia="仿宋_GB2312" w:cs="仿宋_GB2312"/>
          <w:b w:val="0"/>
          <w:bCs w:val="0"/>
          <w:sz w:val="32"/>
          <w:szCs w:val="32"/>
          <w:lang w:val="en-US" w:eastAsia="zh-CN"/>
        </w:rPr>
        <w:t>，中标价</w:t>
      </w:r>
      <w:r>
        <w:rPr>
          <w:rFonts w:hint="eastAsia" w:ascii="仿宋_GB2312" w:hAnsi="仿宋_GB2312" w:eastAsia="仿宋_GB2312" w:cs="仿宋_GB2312"/>
          <w:sz w:val="32"/>
          <w:szCs w:val="32"/>
        </w:rPr>
        <w:t>895000.00元</w:t>
      </w:r>
      <w:r>
        <w:rPr>
          <w:rFonts w:hint="eastAsia" w:ascii="仿宋_GB2312" w:hAnsi="仿宋_GB2312" w:eastAsia="仿宋_GB2312" w:cs="仿宋_GB2312"/>
          <w:b w:val="0"/>
          <w:bCs w:val="0"/>
          <w:sz w:val="32"/>
          <w:szCs w:val="32"/>
          <w:lang w:val="en-US" w:eastAsia="zh-CN"/>
        </w:rPr>
        <w:t>。该项目于2021年</w:t>
      </w:r>
      <w:r>
        <w:rPr>
          <w:rFonts w:hint="eastAsia" w:ascii="仿宋_GB2312" w:hAnsi="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月</w:t>
      </w:r>
      <w:r>
        <w:rPr>
          <w:rFonts w:hint="eastAsia" w:ascii="仿宋_GB2312" w:hAnsi="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日开工，</w:t>
      </w: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30</w:t>
      </w:r>
      <w:r>
        <w:rPr>
          <w:rFonts w:hint="eastAsia" w:ascii="仿宋_GB2312" w:hAnsi="仿宋_GB2312" w:eastAsia="仿宋_GB2312" w:cs="仿宋_GB2312"/>
          <w:sz w:val="32"/>
          <w:szCs w:val="32"/>
        </w:rPr>
        <w:t>日完工，</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8月5日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2022年2月17日</w:t>
      </w:r>
      <w:r>
        <w:rPr>
          <w:rFonts w:hint="eastAsia" w:ascii="仿宋_GB2312" w:hAnsi="仿宋_GB2312" w:eastAsia="仿宋_GB2312" w:cs="仿宋_GB2312"/>
          <w:sz w:val="32"/>
          <w:szCs w:val="32"/>
        </w:rPr>
        <w:t>水利工程运行管理站组织</w:t>
      </w:r>
      <w:r>
        <w:rPr>
          <w:rFonts w:hint="eastAsia" w:ascii="仿宋_GB2312" w:hAnsi="仿宋_GB2312" w:eastAsia="仿宋_GB2312" w:cs="仿宋_GB2312"/>
          <w:sz w:val="32"/>
          <w:szCs w:val="32"/>
          <w:lang w:eastAsia="zh-CN"/>
        </w:rPr>
        <w:t>相关人</w:t>
      </w:r>
      <w:bookmarkStart w:id="0" w:name="_GoBack"/>
      <w:bookmarkEnd w:id="0"/>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服务单位</w:t>
      </w:r>
      <w:r>
        <w:rPr>
          <w:rFonts w:hint="eastAsia" w:ascii="仿宋_GB2312" w:hAnsi="仿宋_GB2312" w:eastAsia="仿宋_GB2312" w:cs="仿宋_GB2312"/>
          <w:sz w:val="32"/>
          <w:szCs w:val="32"/>
          <w:lang w:val="en-US" w:eastAsia="zh-CN"/>
        </w:rPr>
        <w:t>前三次</w:t>
      </w:r>
      <w:r>
        <w:rPr>
          <w:rFonts w:hint="eastAsia" w:ascii="仿宋_GB2312" w:hAnsi="仿宋_GB2312" w:eastAsia="仿宋_GB2312" w:cs="仿宋_GB2312"/>
          <w:sz w:val="32"/>
          <w:szCs w:val="32"/>
          <w:lang w:eastAsia="zh-CN"/>
        </w:rPr>
        <w:t>服务内容完成情况进行了核定，经考核核定人员对照服务单位上报的服务内容完成情况逐项查阅台账资料，服务单位已按照合同协议书约定完成水库管理及技术服务内容</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numPr>
          <w:ilvl w:val="0"/>
          <w:numId w:val="0"/>
        </w:numPr>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完成</w:t>
      </w:r>
      <w:r>
        <w:rPr>
          <w:rFonts w:hint="eastAsia" w:ascii="仿宋_GB2312" w:hAnsi="仿宋_GB2312" w:eastAsia="仿宋_GB2312" w:cs="仿宋_GB2312"/>
          <w:b w:val="0"/>
          <w:bCs w:val="0"/>
          <w:sz w:val="32"/>
          <w:szCs w:val="32"/>
          <w:lang w:val="en-US" w:eastAsia="zh-CN"/>
        </w:rPr>
        <w:t>昆明市呈贡区</w:t>
      </w:r>
      <w:r>
        <w:rPr>
          <w:rFonts w:hint="eastAsia" w:ascii="仿宋_GB2312" w:hAnsi="仿宋_GB2312" w:cs="仿宋_GB2312"/>
          <w:b w:val="0"/>
          <w:bCs w:val="0"/>
          <w:sz w:val="32"/>
          <w:szCs w:val="32"/>
          <w:lang w:val="en-US" w:eastAsia="zh-CN"/>
        </w:rPr>
        <w:t>2021</w:t>
      </w:r>
      <w:r>
        <w:rPr>
          <w:rFonts w:hint="eastAsia" w:ascii="仿宋_GB2312" w:hAnsi="仿宋_GB2312" w:eastAsia="仿宋_GB2312" w:cs="仿宋_GB2312"/>
          <w:b w:val="0"/>
          <w:bCs w:val="0"/>
          <w:sz w:val="32"/>
          <w:szCs w:val="32"/>
          <w:lang w:val="en-US" w:eastAsia="zh-CN"/>
        </w:rPr>
        <w:t>年度水库工程观测及工程养护项目工作。项目主要内容包括：（1）工程维修与养护 ： A、主体工程维修养护； B、闸门维修养护 ；C、启闭机维修养护； D、机电设备维修养护； E、观测设施的维护； F、附属设施维修养护；G、物料动力消耗；H、维修养护资料档案；（2）大坝安全监测范围：定期监测或加测：A、坝面变形观测；B、坝体浸润线观测；C、渗流量观测；D水库水温观测</w:t>
      </w:r>
      <w:r>
        <w:rPr>
          <w:rFonts w:hint="eastAsia" w:ascii="仿宋_GB2312" w:hAnsi="仿宋_GB2312" w:cs="仿宋_GB2312"/>
          <w:b w:val="0"/>
          <w:bCs w:val="0"/>
          <w:sz w:val="32"/>
          <w:szCs w:val="32"/>
          <w:lang w:val="en-US" w:eastAsia="zh-CN"/>
        </w:rPr>
        <w:t>等维修养护内容。</w:t>
      </w:r>
    </w:p>
    <w:p>
      <w:pPr>
        <w:keepNext w:val="0"/>
        <w:keepLines w:val="0"/>
        <w:pageBreakBefore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hint="eastAsia" w:ascii="仿宋_GB2312" w:eastAsia="黑体"/>
          <w:szCs w:val="32"/>
          <w:lang w:eastAsia="zh-CN"/>
        </w:rPr>
      </w:pPr>
      <w:r>
        <w:rPr>
          <w:rFonts w:hint="eastAsia" w:ascii="仿宋_GB2312" w:eastAsia="黑体"/>
          <w:szCs w:val="32"/>
          <w:lang w:eastAsia="zh-CN"/>
        </w:rPr>
        <w:t>无</w:t>
      </w:r>
    </w:p>
    <w:p>
      <w:pPr>
        <w:keepNext w:val="0"/>
        <w:keepLines w:val="0"/>
        <w:pageBreakBefore w:val="0"/>
        <w:kinsoku/>
        <w:wordWrap/>
        <w:overflowPunct/>
        <w:topLinePunct/>
        <w:autoSpaceDE/>
        <w:autoSpaceDN/>
        <w:bidi w:val="0"/>
        <w:adjustRightInd/>
        <w:snapToGrid/>
        <w:spacing w:line="560" w:lineRule="exact"/>
        <w:ind w:left="0" w:leftChars="0" w:right="0" w:rightChars="0" w:firstLine="594" w:firstLineChars="200"/>
        <w:jc w:val="both"/>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kinsoku/>
        <w:wordWrap/>
        <w:overflowPunct/>
        <w:autoSpaceDE/>
        <w:autoSpaceDN/>
        <w:bidi w:val="0"/>
        <w:adjustRightInd/>
        <w:snapToGrid/>
        <w:spacing w:line="560" w:lineRule="exact"/>
        <w:ind w:left="0" w:leftChars="0" w:right="0" w:rightChars="0" w:firstLine="594" w:firstLineChars="200"/>
        <w:jc w:val="both"/>
        <w:textAlignment w:val="auto"/>
        <w:rPr>
          <w:rFonts w:hint="eastAsia" w:eastAsia="仿宋_GB2312"/>
          <w:lang w:eastAsia="zh-CN"/>
        </w:rPr>
      </w:pPr>
      <w:r>
        <w:rPr>
          <w:rFonts w:hint="eastAsia" w:ascii="仿宋_GB2312"/>
          <w:szCs w:val="32"/>
          <w:lang w:eastAsia="zh-CN"/>
        </w:rPr>
        <w:t>无</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84DFD"/>
    <w:multiLevelType w:val="singleLevel"/>
    <w:tmpl w:val="62284DF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45A95"/>
    <w:rsid w:val="0D345A95"/>
    <w:rsid w:val="1D9803E7"/>
    <w:rsid w:val="2224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2022-03-09T07:24:00Z</dcterms:created>
  <dc:creator>莉莉安 </dc:creator>
  <cp:lastModifiedBy>莉莉安 </cp:lastModifiedBy>
  <dcterms:modified xsi:type="dcterms:W3CDTF">2022-03-23T04:38:38Z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EAE55BBA22F44AD9B9A7A713A3DD2A77</vt:lpwstr>
  </property>
</Properties>
</file>