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对企业扶持考核</w:t>
      </w:r>
      <w:r>
        <w:rPr>
          <w:rFonts w:hint="eastAsia" w:ascii="方正小标宋简体" w:hAnsi="方正小标宋简体" w:eastAsia="方正小标宋简体" w:cs="方正小标宋简体"/>
          <w:color w:val="auto"/>
          <w:sz w:val="44"/>
          <w:szCs w:val="44"/>
          <w:lang w:val="en-US" w:eastAsia="zh-CN"/>
        </w:rPr>
        <w:t>专项经费</w:t>
      </w:r>
      <w:r>
        <w:rPr>
          <w:rFonts w:ascii="方正小标宋简体" w:hAnsi="方正小标宋简体" w:eastAsia="方正小标宋简体" w:cs="方正小标宋简体"/>
          <w:color w:val="auto"/>
          <w:sz w:val="44"/>
          <w:szCs w:val="44"/>
        </w:rPr>
        <w:t>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支出</w:t>
      </w:r>
      <w:r>
        <w:rPr>
          <w:rFonts w:ascii="方正小标宋简体" w:hAnsi="方正小标宋简体" w:eastAsia="方正小标宋简体" w:cs="方正小标宋简体"/>
          <w:color w:val="auto"/>
          <w:sz w:val="44"/>
          <w:szCs w:val="44"/>
        </w:rPr>
        <w:t>绩效评价报告</w:t>
      </w:r>
    </w:p>
    <w:p>
      <w:pPr>
        <w:jc w:val="center"/>
        <w:rPr>
          <w:rFonts w:ascii="仿宋_GB2312"/>
          <w:color w:val="auto"/>
          <w:szCs w:val="32"/>
        </w:rPr>
      </w:pPr>
    </w:p>
    <w:p>
      <w:pPr>
        <w:spacing w:line="560" w:lineRule="exact"/>
        <w:ind w:firstLine="796" w:firstLineChars="249"/>
        <w:jc w:val="left"/>
        <w:rPr>
          <w:rFonts w:hint="eastAsia" w:ascii="黑体" w:hAnsi="黑体" w:eastAsia="黑体"/>
          <w:color w:val="auto"/>
          <w:szCs w:val="32"/>
        </w:rPr>
      </w:pPr>
      <w:r>
        <w:rPr>
          <w:rFonts w:hint="eastAsia" w:ascii="黑体" w:hAnsi="黑体" w:eastAsia="黑体"/>
          <w:color w:val="auto"/>
          <w:szCs w:val="32"/>
        </w:rPr>
        <w:t>一、基本情况</w:t>
      </w:r>
    </w:p>
    <w:p>
      <w:pPr>
        <w:spacing w:line="560" w:lineRule="exact"/>
        <w:ind w:firstLine="480" w:firstLineChars="150"/>
        <w:jc w:val="left"/>
        <w:rPr>
          <w:rFonts w:hint="eastAsia" w:ascii="楷体" w:hAnsi="楷体" w:eastAsia="楷体" w:cs="楷体"/>
          <w:bCs/>
          <w:color w:val="auto"/>
          <w:szCs w:val="32"/>
        </w:rPr>
      </w:pPr>
      <w:r>
        <w:rPr>
          <w:rFonts w:hint="eastAsia" w:ascii="楷体" w:hAnsi="楷体" w:eastAsia="楷体" w:cs="楷体"/>
          <w:bCs/>
          <w:color w:val="auto"/>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color w:val="auto"/>
          <w:szCs w:val="32"/>
          <w:shd w:val="clear" w:color="auto" w:fill="auto"/>
        </w:rPr>
      </w:pPr>
      <w:r>
        <w:rPr>
          <w:rFonts w:ascii="仿宋_GB2312"/>
          <w:color w:val="auto"/>
          <w:szCs w:val="32"/>
        </w:rPr>
        <w:t>为深入贯彻落实党的十九大精神以及中央经济工作会议安排部署，有效促进全区经济在“稳中求进”的基础上实现“高质量发展”、“跨越式发展”，现结合呈贡实际，制</w:t>
      </w:r>
      <w:r>
        <w:rPr>
          <w:rFonts w:hint="eastAsia" w:ascii="仿宋_GB2312"/>
          <w:color w:val="auto"/>
          <w:szCs w:val="32"/>
        </w:rPr>
        <w:t>订《</w:t>
      </w:r>
      <w:r>
        <w:rPr>
          <w:rFonts w:hint="eastAsia" w:ascii="仿宋_GB2312"/>
          <w:color w:val="auto"/>
          <w:szCs w:val="32"/>
          <w:lang w:val="en-US" w:eastAsia="zh-CN"/>
        </w:rPr>
        <w:t xml:space="preserve"> </w:t>
      </w:r>
      <w:r>
        <w:rPr>
          <w:rFonts w:hint="eastAsia" w:ascii="仿宋_GB2312" w:hAnsi="仿宋_GB2312" w:eastAsia="仿宋_GB2312" w:cs="仿宋_GB2312"/>
          <w:b w:val="0"/>
          <w:bCs w:val="0"/>
          <w:color w:val="auto"/>
          <w:sz w:val="32"/>
          <w:szCs w:val="32"/>
        </w:rPr>
        <w:t>昆明市呈贡区商务和投资促进局关于兑现拨付昆明市2020年促费稳增长扶持奖励资金的通知</w:t>
      </w:r>
      <w:r>
        <w:rPr>
          <w:rFonts w:hint="eastAsia" w:ascii="仿宋_GB2312"/>
          <w:color w:val="auto"/>
          <w:szCs w:val="32"/>
        </w:rPr>
        <w:t>》（呈政发〔20</w:t>
      </w:r>
      <w:r>
        <w:rPr>
          <w:rFonts w:hint="eastAsia" w:ascii="仿宋_GB2312"/>
          <w:color w:val="auto"/>
          <w:szCs w:val="32"/>
          <w:lang w:val="en-US" w:eastAsia="zh-CN"/>
        </w:rPr>
        <w:t>21</w:t>
      </w:r>
      <w:r>
        <w:rPr>
          <w:rFonts w:hint="eastAsia" w:ascii="仿宋_GB2312"/>
          <w:color w:val="auto"/>
          <w:szCs w:val="32"/>
        </w:rPr>
        <w:t>〕1</w:t>
      </w:r>
      <w:r>
        <w:rPr>
          <w:rFonts w:hint="eastAsia" w:ascii="仿宋_GB2312"/>
          <w:color w:val="auto"/>
          <w:szCs w:val="32"/>
          <w:lang w:val="en-US" w:eastAsia="zh-CN"/>
        </w:rPr>
        <w:t>2</w:t>
      </w:r>
      <w:r>
        <w:rPr>
          <w:rFonts w:hint="eastAsia" w:ascii="仿宋_GB2312"/>
          <w:color w:val="auto"/>
          <w:szCs w:val="32"/>
        </w:rPr>
        <w:t>号）文件。按照</w:t>
      </w:r>
      <w:r>
        <w:rPr>
          <w:rFonts w:ascii="仿宋_GB2312"/>
          <w:color w:val="auto"/>
          <w:szCs w:val="32"/>
        </w:rPr>
        <w:t>市</w:t>
      </w:r>
      <w:r>
        <w:rPr>
          <w:rFonts w:hint="eastAsia" w:ascii="仿宋_GB2312"/>
          <w:color w:val="auto"/>
          <w:szCs w:val="32"/>
        </w:rPr>
        <w:t>政府</w:t>
      </w:r>
      <w:r>
        <w:rPr>
          <w:rFonts w:ascii="仿宋_GB2312"/>
          <w:color w:val="auto"/>
          <w:szCs w:val="32"/>
        </w:rPr>
        <w:t>关于稳增长、促消费的相关</w:t>
      </w:r>
      <w:r>
        <w:rPr>
          <w:rFonts w:hint="eastAsia" w:ascii="仿宋_GB2312"/>
          <w:color w:val="auto"/>
          <w:szCs w:val="32"/>
        </w:rPr>
        <w:t>安排</w:t>
      </w:r>
      <w:r>
        <w:rPr>
          <w:rFonts w:ascii="仿宋_GB2312"/>
          <w:color w:val="auto"/>
          <w:szCs w:val="32"/>
        </w:rPr>
        <w:t>部署，为实现</w:t>
      </w:r>
      <w:r>
        <w:rPr>
          <w:rFonts w:hint="eastAsia" w:ascii="仿宋_GB2312"/>
          <w:color w:val="auto"/>
          <w:szCs w:val="32"/>
        </w:rPr>
        <w:t>我区</w:t>
      </w:r>
      <w:r>
        <w:rPr>
          <w:rFonts w:ascii="仿宋_GB2312"/>
          <w:color w:val="auto"/>
          <w:szCs w:val="32"/>
        </w:rPr>
        <w:t>20</w:t>
      </w:r>
      <w:r>
        <w:rPr>
          <w:rFonts w:hint="eastAsia" w:ascii="仿宋_GB2312"/>
          <w:color w:val="auto"/>
          <w:szCs w:val="32"/>
          <w:lang w:val="en-US" w:eastAsia="zh-CN"/>
        </w:rPr>
        <w:t>21</w:t>
      </w:r>
      <w:r>
        <w:rPr>
          <w:rFonts w:ascii="仿宋_GB2312"/>
          <w:color w:val="auto"/>
          <w:szCs w:val="32"/>
        </w:rPr>
        <w:t>年</w:t>
      </w:r>
      <w:r>
        <w:rPr>
          <w:rFonts w:hint="eastAsia" w:ascii="仿宋_GB2312"/>
          <w:color w:val="auto"/>
          <w:szCs w:val="32"/>
        </w:rPr>
        <w:t>全区</w:t>
      </w:r>
      <w:r>
        <w:rPr>
          <w:rFonts w:ascii="仿宋_GB2312"/>
          <w:color w:val="auto"/>
          <w:szCs w:val="32"/>
        </w:rPr>
        <w:t>消费“开门红”，经研究，决定在呈贡区范围内集中开展</w:t>
      </w:r>
      <w:r>
        <w:rPr>
          <w:rFonts w:ascii="仿宋_GB2312"/>
          <w:color w:val="auto"/>
          <w:szCs w:val="32"/>
          <w:highlight w:val="none"/>
          <w:shd w:val="clear" w:color="auto" w:fill="auto"/>
        </w:rPr>
        <w:t>20</w:t>
      </w:r>
      <w:r>
        <w:rPr>
          <w:rFonts w:hint="eastAsia" w:ascii="仿宋_GB2312"/>
          <w:color w:val="auto"/>
          <w:szCs w:val="32"/>
          <w:highlight w:val="none"/>
          <w:shd w:val="clear" w:color="auto" w:fill="auto"/>
          <w:lang w:val="en-US" w:eastAsia="zh-CN"/>
        </w:rPr>
        <w:t>21</w:t>
      </w:r>
      <w:r>
        <w:rPr>
          <w:rFonts w:ascii="仿宋_GB2312"/>
          <w:color w:val="auto"/>
          <w:szCs w:val="32"/>
          <w:highlight w:val="none"/>
          <w:shd w:val="clear" w:color="auto" w:fill="auto"/>
        </w:rPr>
        <w:t>年新春欢乐购活动，</w:t>
      </w:r>
      <w:r>
        <w:rPr>
          <w:rFonts w:hint="eastAsia" w:ascii="仿宋_GB2312"/>
          <w:color w:val="auto"/>
          <w:szCs w:val="32"/>
          <w:highlight w:val="none"/>
          <w:shd w:val="clear" w:color="auto" w:fill="auto"/>
        </w:rPr>
        <w:t>并制定活动</w:t>
      </w:r>
      <w:r>
        <w:rPr>
          <w:rFonts w:ascii="仿宋_GB2312"/>
          <w:color w:val="auto"/>
          <w:szCs w:val="32"/>
          <w:highlight w:val="none"/>
          <w:shd w:val="clear" w:color="auto" w:fill="auto"/>
        </w:rPr>
        <w:t>方案</w:t>
      </w:r>
      <w:r>
        <w:rPr>
          <w:rFonts w:hint="eastAsia" w:ascii="仿宋_GB2312"/>
          <w:color w:val="auto"/>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Cs w:val="32"/>
        </w:rPr>
      </w:pPr>
      <w:r>
        <w:rPr>
          <w:rFonts w:hint="eastAsia" w:ascii="仿宋_GB2312"/>
          <w:color w:val="auto"/>
          <w:szCs w:val="32"/>
        </w:rPr>
        <w:t>1-</w:t>
      </w:r>
      <w:r>
        <w:rPr>
          <w:rFonts w:hint="eastAsia" w:ascii="仿宋_GB2312"/>
          <w:color w:val="auto"/>
          <w:szCs w:val="32"/>
          <w:lang w:val="en-US" w:eastAsia="zh-CN"/>
        </w:rPr>
        <w:t>6</w:t>
      </w:r>
      <w:r>
        <w:rPr>
          <w:rFonts w:hint="eastAsia" w:ascii="仿宋_GB2312"/>
          <w:color w:val="auto"/>
          <w:szCs w:val="32"/>
        </w:rPr>
        <w:t>月我区社会消费品零售总额完成目标任务增速达</w:t>
      </w:r>
      <w:r>
        <w:rPr>
          <w:rFonts w:hint="eastAsia" w:ascii="仿宋_GB2312"/>
          <w:color w:val="auto"/>
          <w:szCs w:val="32"/>
          <w:lang w:val="en-US" w:eastAsia="zh-CN"/>
        </w:rPr>
        <w:t>16.1</w:t>
      </w:r>
      <w:r>
        <w:rPr>
          <w:rFonts w:hint="eastAsia" w:ascii="仿宋_GB2312"/>
          <w:color w:val="auto"/>
          <w:szCs w:val="32"/>
        </w:rPr>
        <w:t>%，批发业增速达</w:t>
      </w:r>
      <w:r>
        <w:rPr>
          <w:rFonts w:hint="eastAsia" w:ascii="仿宋_GB2312"/>
          <w:color w:val="auto"/>
          <w:szCs w:val="32"/>
          <w:lang w:val="en-US" w:eastAsia="zh-CN"/>
        </w:rPr>
        <w:t>26.3</w:t>
      </w:r>
      <w:r>
        <w:rPr>
          <w:rFonts w:hint="eastAsia" w:ascii="仿宋_GB2312"/>
          <w:color w:val="auto"/>
          <w:szCs w:val="32"/>
        </w:rPr>
        <w:t>%，零售业增速达</w:t>
      </w:r>
      <w:r>
        <w:rPr>
          <w:rFonts w:hint="eastAsia" w:ascii="仿宋_GB2312"/>
          <w:color w:val="auto"/>
          <w:szCs w:val="32"/>
          <w:lang w:val="en-US" w:eastAsia="zh-CN"/>
        </w:rPr>
        <w:t>9.9</w:t>
      </w:r>
      <w:r>
        <w:rPr>
          <w:rFonts w:hint="eastAsia" w:ascii="仿宋_GB2312"/>
          <w:color w:val="auto"/>
          <w:szCs w:val="32"/>
        </w:rPr>
        <w:t>%，餐饮业增速达</w:t>
      </w:r>
      <w:r>
        <w:rPr>
          <w:rFonts w:hint="eastAsia" w:ascii="仿宋_GB2312"/>
          <w:color w:val="auto"/>
          <w:szCs w:val="32"/>
          <w:lang w:val="en-US" w:eastAsia="zh-CN"/>
        </w:rPr>
        <w:t>69.2</w:t>
      </w:r>
      <w:r>
        <w:rPr>
          <w:rFonts w:hint="eastAsia" w:ascii="仿宋_GB2312"/>
          <w:color w:val="auto"/>
          <w:szCs w:val="32"/>
        </w:rPr>
        <w:t>%，实现了</w:t>
      </w:r>
      <w:r>
        <w:rPr>
          <w:rFonts w:hint="eastAsia" w:ascii="仿宋_GB2312"/>
          <w:color w:val="auto"/>
          <w:szCs w:val="32"/>
          <w:lang w:val="en-US" w:eastAsia="zh-CN"/>
        </w:rPr>
        <w:t>2021</w:t>
      </w:r>
      <w:r>
        <w:rPr>
          <w:rFonts w:hint="eastAsia" w:ascii="仿宋_GB2312"/>
          <w:color w:val="auto"/>
          <w:szCs w:val="32"/>
        </w:rPr>
        <w:t>年全区消费开门红的目标。为实现社会消费开门红，全年经济指标大增长奠定了坚实的基础。</w:t>
      </w:r>
    </w:p>
    <w:p>
      <w:pPr>
        <w:ind w:firstLine="640" w:firstLineChars="200"/>
        <w:rPr>
          <w:rFonts w:hint="eastAsia" w:ascii="华文楷体" w:hAnsi="华文楷体" w:eastAsia="华文楷体" w:cs="华文楷体"/>
          <w:color w:val="auto"/>
          <w:szCs w:val="32"/>
        </w:rPr>
      </w:pPr>
      <w:r>
        <w:rPr>
          <w:rFonts w:hint="eastAsia" w:ascii="华文楷体" w:hAnsi="华文楷体" w:eastAsia="华文楷体" w:cs="华文楷体"/>
          <w:color w:val="auto"/>
          <w:szCs w:val="32"/>
        </w:rPr>
        <w:t>（</w:t>
      </w:r>
      <w:r>
        <w:rPr>
          <w:rFonts w:hint="eastAsia" w:ascii="楷体" w:hAnsi="楷体" w:eastAsia="楷体" w:cs="楷体"/>
          <w:bCs/>
          <w:color w:val="auto"/>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auto"/>
          <w:szCs w:val="32"/>
        </w:rPr>
      </w:pPr>
      <w:r>
        <w:rPr>
          <w:rFonts w:ascii="仿宋_GB2312" w:hAnsi="仿宋"/>
          <w:color w:val="auto"/>
          <w:szCs w:val="32"/>
        </w:rPr>
        <w:t>为深入贯彻落实党的十九大精神以及中央经济工作会议安排部署，有效促进全区经济在“稳中求进”的基础上实现“高质量发展”、“跨越式发展”</w:t>
      </w:r>
      <w:r>
        <w:rPr>
          <w:rFonts w:hint="eastAsia" w:ascii="仿宋_GB2312" w:hAnsi="仿宋"/>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olor w:val="auto"/>
          <w:szCs w:val="32"/>
        </w:rPr>
      </w:pPr>
      <w:r>
        <w:rPr>
          <w:rFonts w:hint="eastAsia" w:ascii="仿宋_GB2312" w:hAnsi="仿宋"/>
          <w:color w:val="auto"/>
          <w:szCs w:val="32"/>
        </w:rPr>
        <w:t>开展新春欢乐购活动</w:t>
      </w:r>
      <w:r>
        <w:rPr>
          <w:rFonts w:ascii="仿宋_GB2312" w:hAnsi="仿宋"/>
          <w:color w:val="auto"/>
          <w:szCs w:val="32"/>
        </w:rPr>
        <w:t>目的在于营造良好节日氛围，服务好市民生活需求，进一步提振消费信心，激发消费热情，培育消费热点，从而繁荣节日市场、扩大消费规模、提升消费档次，为20</w:t>
      </w:r>
      <w:r>
        <w:rPr>
          <w:rFonts w:hint="eastAsia" w:ascii="仿宋_GB2312" w:hAnsi="仿宋"/>
          <w:color w:val="auto"/>
          <w:szCs w:val="32"/>
          <w:lang w:val="en-US" w:eastAsia="zh-CN"/>
        </w:rPr>
        <w:t>21</w:t>
      </w:r>
      <w:r>
        <w:rPr>
          <w:rFonts w:ascii="仿宋_GB2312" w:hAnsi="仿宋"/>
          <w:color w:val="auto"/>
          <w:szCs w:val="32"/>
        </w:rPr>
        <w:t>年社会消费品零售总额实现“开门红”奠定良好基础，为全区作为新兴城市树立新形象，发挥新引力。</w:t>
      </w:r>
    </w:p>
    <w:p>
      <w:pPr>
        <w:spacing w:line="560" w:lineRule="exact"/>
        <w:ind w:firstLine="796" w:firstLineChars="249"/>
        <w:jc w:val="left"/>
        <w:rPr>
          <w:rFonts w:hint="eastAsia" w:ascii="黑体" w:hAnsi="黑体" w:eastAsia="黑体"/>
          <w:color w:val="auto"/>
          <w:szCs w:val="32"/>
        </w:rPr>
      </w:pPr>
      <w:r>
        <w:rPr>
          <w:rFonts w:hint="eastAsia" w:ascii="黑体" w:hAnsi="黑体" w:eastAsia="黑体"/>
          <w:color w:val="auto"/>
          <w:szCs w:val="32"/>
        </w:rPr>
        <w:t>二、项目单位绩效报告情况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_GB2312"/>
          <w:color w:val="auto"/>
          <w:szCs w:val="32"/>
        </w:rPr>
      </w:pPr>
      <w:r>
        <w:rPr>
          <w:rFonts w:hint="eastAsia" w:ascii="仿宋_GB2312" w:hAnsi="仿宋"/>
          <w:color w:val="auto"/>
          <w:szCs w:val="32"/>
        </w:rPr>
        <w:t>为了相关奖励政策得到落实并取得良好效果，我局组织商贸科人员走访相关企业，传达奖励政策，与企业研究如何落实政策提升运营水平。在企业的运营过程中，也加强调研指导和监督。</w:t>
      </w:r>
      <w:r>
        <w:rPr>
          <w:rFonts w:hint="eastAsia" w:ascii="仿宋_GB2312" w:hAnsi="仿宋"/>
          <w:color w:val="auto"/>
          <w:szCs w:val="32"/>
        </w:rPr>
        <w:t>对扶持对象，</w:t>
      </w:r>
      <w:r>
        <w:rPr>
          <w:rFonts w:hint="eastAsia" w:ascii="仿宋_GB2312" w:hAnsi="仿宋"/>
          <w:color w:val="auto"/>
          <w:szCs w:val="32"/>
          <w:lang w:val="en-US" w:eastAsia="zh-CN"/>
        </w:rPr>
        <w:t>对内贸企业根据区统计局提供的数据，外贸企业根据海关提供的数据，严格审核后</w:t>
      </w:r>
      <w:r>
        <w:rPr>
          <w:rFonts w:hint="eastAsia" w:ascii="仿宋_GB2312" w:hAnsi="仿宋"/>
          <w:color w:val="auto"/>
          <w:szCs w:val="32"/>
        </w:rPr>
        <w:t>才兑现奖励，保证扶持资金安全合规，发挥良好的激励效应。根据呈贡区财政局《关于对20</w:t>
      </w:r>
      <w:r>
        <w:rPr>
          <w:rFonts w:hint="eastAsia" w:ascii="仿宋_GB2312" w:hAnsi="仿宋"/>
          <w:color w:val="auto"/>
          <w:szCs w:val="32"/>
          <w:lang w:val="en-US" w:eastAsia="zh-CN"/>
        </w:rPr>
        <w:t>21</w:t>
      </w:r>
      <w:r>
        <w:rPr>
          <w:rFonts w:hint="eastAsia" w:ascii="仿宋_GB2312" w:hAnsi="仿宋"/>
          <w:color w:val="auto"/>
          <w:szCs w:val="32"/>
        </w:rPr>
        <w:t>年度预算支出开展绩效自评工作的通知》文件要求，我局</w:t>
      </w:r>
      <w:r>
        <w:rPr>
          <w:rFonts w:hint="eastAsia" w:ascii="仿宋_GB2312" w:hAnsi="仿宋" w:cs="仿宋_GB2312"/>
          <w:color w:val="auto"/>
          <w:szCs w:val="32"/>
        </w:rPr>
        <w:t>已按要求对该项目进行自评并形成书面报告，同时对项目执行情况进行了打分，自评分为100分。</w:t>
      </w:r>
    </w:p>
    <w:p>
      <w:pPr>
        <w:spacing w:line="560" w:lineRule="exact"/>
        <w:ind w:firstLine="796" w:firstLineChars="249"/>
        <w:jc w:val="left"/>
        <w:rPr>
          <w:rFonts w:hint="eastAsia" w:ascii="黑体" w:hAnsi="黑体" w:eastAsia="黑体"/>
          <w:color w:val="auto"/>
          <w:szCs w:val="32"/>
        </w:rPr>
      </w:pPr>
      <w:r>
        <w:rPr>
          <w:rFonts w:hint="eastAsia" w:ascii="黑体" w:hAnsi="黑体" w:eastAsia="黑体"/>
          <w:color w:val="auto"/>
          <w:szCs w:val="32"/>
        </w:rPr>
        <w:t>三、绩效评价工作情况</w:t>
      </w:r>
    </w:p>
    <w:p>
      <w:pPr>
        <w:ind w:firstLine="640" w:firstLineChars="200"/>
        <w:rPr>
          <w:rFonts w:hint="eastAsia" w:ascii="楷体" w:hAnsi="楷体" w:eastAsia="楷体" w:cs="楷体"/>
          <w:bCs/>
          <w:color w:val="auto"/>
          <w:szCs w:val="32"/>
        </w:rPr>
      </w:pPr>
      <w:r>
        <w:rPr>
          <w:rFonts w:hint="eastAsia" w:ascii="楷体" w:hAnsi="楷体" w:eastAsia="楷体" w:cs="楷体"/>
          <w:bCs/>
          <w:color w:val="auto"/>
          <w:szCs w:val="32"/>
        </w:rPr>
        <w:t>（一）绩效评价目的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auto"/>
          <w:szCs w:val="32"/>
        </w:rPr>
      </w:pPr>
      <w:r>
        <w:rPr>
          <w:rFonts w:hint="eastAsia" w:ascii="仿宋_GB2312" w:hAnsi="仿宋"/>
          <w:color w:val="auto"/>
          <w:szCs w:val="32"/>
        </w:rPr>
        <w:t>对企业扶持</w:t>
      </w:r>
      <w:r>
        <w:rPr>
          <w:rFonts w:hint="eastAsia" w:ascii="仿宋_GB2312" w:hAnsi="仿宋"/>
          <w:color w:val="auto"/>
          <w:szCs w:val="32"/>
          <w:lang w:val="en-US" w:eastAsia="zh-CN"/>
        </w:rPr>
        <w:t>考核专项经费</w:t>
      </w:r>
      <w:r>
        <w:rPr>
          <w:rFonts w:hint="eastAsia" w:ascii="仿宋_GB2312" w:hAnsi="仿宋"/>
          <w:color w:val="auto"/>
          <w:szCs w:val="32"/>
        </w:rPr>
        <w:t>项目进行绩效评价；</w:t>
      </w:r>
    </w:p>
    <w:p>
      <w:pPr>
        <w:ind w:firstLine="640" w:firstLineChars="200"/>
        <w:rPr>
          <w:rFonts w:hint="eastAsia" w:ascii="楷体" w:hAnsi="楷体" w:eastAsia="楷体" w:cs="楷体"/>
          <w:bCs/>
          <w:color w:val="auto"/>
          <w:szCs w:val="32"/>
        </w:rPr>
      </w:pPr>
      <w:r>
        <w:rPr>
          <w:rFonts w:hint="eastAsia" w:ascii="楷体" w:hAnsi="楷体" w:eastAsia="楷体" w:cs="楷体"/>
          <w:bCs/>
          <w:color w:val="auto"/>
          <w:szCs w:val="32"/>
        </w:rPr>
        <w:t>（二）绩效评价原则、评价指标体系、评价方法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auto"/>
          <w:szCs w:val="32"/>
        </w:rPr>
      </w:pPr>
      <w:r>
        <w:rPr>
          <w:rFonts w:hint="eastAsia" w:ascii="仿宋_GB2312" w:hAnsi="仿宋"/>
          <w:color w:val="auto"/>
          <w:szCs w:val="32"/>
        </w:rPr>
        <w:t>按照“三重一大”制度的有关规定，坚持集体研究讨论该项目资金管理、拨付、监督使用，确保项目资金合规合法。进一步提高资金使用效率，切实做好绩效评价工作。</w:t>
      </w:r>
    </w:p>
    <w:p>
      <w:pPr>
        <w:ind w:firstLine="640" w:firstLineChars="200"/>
        <w:rPr>
          <w:rFonts w:hint="eastAsia" w:ascii="楷体" w:hAnsi="楷体" w:eastAsia="楷体" w:cs="楷体"/>
          <w:bCs/>
          <w:color w:val="auto"/>
          <w:szCs w:val="32"/>
        </w:rPr>
      </w:pPr>
      <w:r>
        <w:rPr>
          <w:rFonts w:hint="eastAsia" w:ascii="楷体" w:hAnsi="楷体" w:eastAsia="楷体" w:cs="楷体"/>
          <w:bCs/>
          <w:color w:val="auto"/>
          <w:szCs w:val="32"/>
        </w:rPr>
        <w:t>（三）绩效评价工作过程</w:t>
      </w:r>
    </w:p>
    <w:p>
      <w:pPr>
        <w:ind w:firstLine="643" w:firstLineChars="200"/>
        <w:rPr>
          <w:rFonts w:hint="eastAsia" w:ascii="仿宋_GB2312"/>
          <w:b/>
          <w:bCs/>
          <w:color w:val="auto"/>
          <w:szCs w:val="32"/>
        </w:rPr>
      </w:pPr>
      <w:r>
        <w:rPr>
          <w:rFonts w:ascii="仿宋_GB2312"/>
          <w:b/>
          <w:bCs/>
          <w:color w:val="auto"/>
          <w:szCs w:val="32"/>
        </w:rPr>
        <w:t>1.</w:t>
      </w:r>
      <w:r>
        <w:rPr>
          <w:rFonts w:hint="eastAsia" w:ascii="仿宋_GB2312"/>
          <w:b/>
          <w:bCs/>
          <w:color w:val="auto"/>
          <w:szCs w:val="32"/>
        </w:rPr>
        <w:t>前期准备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auto"/>
          <w:szCs w:val="32"/>
        </w:rPr>
      </w:pPr>
      <w:r>
        <w:rPr>
          <w:rFonts w:hint="eastAsia" w:ascii="仿宋_GB2312" w:hAnsi="仿宋"/>
          <w:color w:val="auto"/>
          <w:szCs w:val="32"/>
        </w:rPr>
        <w:t>高度重视、拟定工作方案。我局高度重视对企业</w:t>
      </w:r>
      <w:r>
        <w:rPr>
          <w:rFonts w:hint="eastAsia" w:ascii="仿宋_GB2312" w:hAnsi="仿宋"/>
          <w:color w:val="auto"/>
          <w:szCs w:val="32"/>
          <w:lang w:val="en-US" w:eastAsia="zh-CN"/>
        </w:rPr>
        <w:t>扶持考核专项经费</w:t>
      </w:r>
      <w:r>
        <w:rPr>
          <w:rFonts w:hint="eastAsia" w:ascii="仿宋_GB2312" w:hAnsi="仿宋"/>
          <w:color w:val="auto"/>
          <w:szCs w:val="32"/>
        </w:rPr>
        <w:t>工作，成立组织机构、拟定工作方案。制定了实施细则、明确了各部门职能职责。</w:t>
      </w:r>
    </w:p>
    <w:p>
      <w:pPr>
        <w:ind w:firstLine="482" w:firstLineChars="150"/>
        <w:rPr>
          <w:rFonts w:hint="eastAsia" w:ascii="仿宋" w:hAnsi="仿宋" w:eastAsia="仿宋"/>
          <w:b/>
          <w:bCs/>
          <w:color w:val="auto"/>
          <w:szCs w:val="32"/>
        </w:rPr>
      </w:pPr>
      <w:r>
        <w:rPr>
          <w:rFonts w:hint="eastAsia" w:ascii="仿宋" w:hAnsi="仿宋" w:eastAsia="仿宋"/>
          <w:b/>
          <w:bCs/>
          <w:color w:val="auto"/>
          <w:szCs w:val="32"/>
        </w:rPr>
        <w:t>2.组织实施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auto"/>
          <w:szCs w:val="32"/>
        </w:rPr>
      </w:pPr>
      <w:r>
        <w:rPr>
          <w:rFonts w:hint="eastAsia" w:ascii="仿宋_GB2312" w:hAnsi="仿宋"/>
          <w:color w:val="auto"/>
          <w:szCs w:val="32"/>
        </w:rPr>
        <w:t>我局根据划分的指标派遣专人到企业实地走访，为企业宣传政府的奖励制度，并且督促其尽力完成相关的目标任务。</w:t>
      </w:r>
    </w:p>
    <w:p>
      <w:pPr>
        <w:spacing w:line="560" w:lineRule="exact"/>
        <w:ind w:firstLine="643" w:firstLineChars="200"/>
        <w:rPr>
          <w:rFonts w:hint="eastAsia" w:ascii="仿宋" w:hAnsi="仿宋" w:eastAsia="仿宋"/>
          <w:b/>
          <w:color w:val="auto"/>
          <w:szCs w:val="32"/>
        </w:rPr>
      </w:pPr>
      <w:r>
        <w:rPr>
          <w:rFonts w:hint="eastAsia" w:ascii="仿宋" w:hAnsi="仿宋" w:eastAsia="仿宋"/>
          <w:b/>
          <w:color w:val="auto"/>
          <w:szCs w:val="32"/>
        </w:rPr>
        <w:t>3.分析评价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olor w:val="auto"/>
          <w:szCs w:val="32"/>
        </w:rPr>
      </w:pPr>
      <w:r>
        <w:rPr>
          <w:rFonts w:hint="eastAsia" w:ascii="仿宋_GB2312" w:hAnsi="仿宋"/>
          <w:color w:val="auto"/>
          <w:szCs w:val="32"/>
        </w:rPr>
        <w:t>我局尽力完成相关指标任务，积极配合有关部门和单位共同找方法促进呈贡区经济发展。并对达到标准的企业及单位给予一定的资金支持，希望他们积极配合政府，共同促进呈贡区经济又快又好的发展。</w:t>
      </w:r>
    </w:p>
    <w:p>
      <w:pPr>
        <w:spacing w:line="560" w:lineRule="exact"/>
        <w:ind w:firstLine="796" w:firstLineChars="249"/>
        <w:jc w:val="left"/>
        <w:rPr>
          <w:rFonts w:hint="eastAsia" w:ascii="黑体" w:hAnsi="黑体" w:eastAsia="黑体"/>
          <w:color w:val="auto"/>
          <w:szCs w:val="32"/>
        </w:rPr>
      </w:pPr>
      <w:r>
        <w:rPr>
          <w:rFonts w:hint="eastAsia" w:ascii="黑体" w:hAnsi="黑体" w:eastAsia="黑体"/>
          <w:color w:val="auto"/>
          <w:szCs w:val="32"/>
        </w:rPr>
        <w:t>四、绩效评价指标分析情况</w:t>
      </w:r>
    </w:p>
    <w:p>
      <w:pPr>
        <w:ind w:firstLine="640" w:firstLineChars="200"/>
        <w:rPr>
          <w:rFonts w:hint="eastAsia" w:ascii="楷体" w:hAnsi="楷体" w:eastAsia="楷体" w:cs="楷体"/>
          <w:bCs/>
          <w:color w:val="auto"/>
          <w:szCs w:val="32"/>
        </w:rPr>
      </w:pPr>
      <w:r>
        <w:rPr>
          <w:rFonts w:hint="eastAsia" w:ascii="楷体" w:hAnsi="楷体" w:eastAsia="楷体" w:cs="楷体"/>
          <w:bCs/>
          <w:color w:val="auto"/>
          <w:szCs w:val="32"/>
        </w:rPr>
        <w:t>（一）项目资金情况分析</w:t>
      </w:r>
    </w:p>
    <w:p>
      <w:pPr>
        <w:ind w:firstLine="643" w:firstLineChars="200"/>
        <w:outlineLvl w:val="0"/>
        <w:rPr>
          <w:rFonts w:hint="eastAsia" w:ascii="仿宋_GB2312"/>
          <w:b/>
          <w:bCs/>
          <w:color w:val="auto"/>
          <w:szCs w:val="32"/>
        </w:rPr>
      </w:pPr>
      <w:r>
        <w:rPr>
          <w:rFonts w:ascii="仿宋_GB2312"/>
          <w:b/>
          <w:bCs/>
          <w:color w:val="auto"/>
          <w:szCs w:val="32"/>
        </w:rPr>
        <w:t>1.</w:t>
      </w:r>
      <w:r>
        <w:rPr>
          <w:rFonts w:hint="eastAsia" w:ascii="仿宋_GB2312"/>
          <w:b/>
          <w:bCs/>
          <w:color w:val="auto"/>
          <w:szCs w:val="32"/>
        </w:rPr>
        <w:t>项目资金到位情况分析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
          <w:color w:val="auto"/>
          <w:szCs w:val="32"/>
        </w:rPr>
        <w:t>对企业扶持考核</w:t>
      </w:r>
      <w:r>
        <w:rPr>
          <w:rFonts w:hint="eastAsia" w:ascii="仿宋_GB2312" w:hAnsi="仿宋"/>
          <w:color w:val="auto"/>
          <w:szCs w:val="32"/>
          <w:lang w:val="en-US" w:eastAsia="zh-CN"/>
        </w:rPr>
        <w:t>专项经费</w:t>
      </w:r>
      <w:r>
        <w:rPr>
          <w:rFonts w:hint="eastAsia" w:ascii="仿宋_GB2312" w:hAnsi="仿宋_GB2312" w:eastAsia="仿宋_GB2312" w:cs="仿宋_GB2312"/>
          <w:color w:val="auto"/>
          <w:sz w:val="32"/>
          <w:szCs w:val="32"/>
          <w:u w:val="none"/>
          <w:lang w:eastAsia="zh-CN"/>
        </w:rPr>
        <w:t>”年初预算安排资金</w:t>
      </w:r>
      <w:r>
        <w:rPr>
          <w:rFonts w:hint="eastAsia" w:ascii="仿宋_GB2312" w:hAnsi="仿宋_GB2312" w:cs="仿宋_GB2312"/>
          <w:color w:val="auto"/>
          <w:sz w:val="32"/>
          <w:szCs w:val="32"/>
          <w:u w:val="none"/>
          <w:lang w:val="en-US" w:eastAsia="zh-CN"/>
        </w:rPr>
        <w:t>1194</w:t>
      </w:r>
      <w:r>
        <w:rPr>
          <w:rFonts w:hint="eastAsia" w:ascii="仿宋_GB2312" w:hAnsi="仿宋_GB2312" w:eastAsia="仿宋_GB2312" w:cs="仿宋_GB2312"/>
          <w:color w:val="auto"/>
          <w:sz w:val="32"/>
          <w:szCs w:val="32"/>
          <w:u w:val="none"/>
          <w:lang w:val="en-US" w:eastAsia="zh-CN"/>
        </w:rPr>
        <w:t>.00万元，截止2021年12月31日完成支出</w:t>
      </w:r>
      <w:r>
        <w:rPr>
          <w:rFonts w:hint="eastAsia" w:ascii="仿宋_GB2312" w:hAnsi="仿宋_GB2312" w:cs="仿宋_GB2312"/>
          <w:color w:val="auto"/>
          <w:sz w:val="32"/>
          <w:szCs w:val="32"/>
          <w:u w:val="none"/>
          <w:lang w:val="en-US" w:eastAsia="zh-CN"/>
        </w:rPr>
        <w:t>1194</w:t>
      </w:r>
      <w:r>
        <w:rPr>
          <w:rFonts w:hint="eastAsia" w:ascii="仿宋_GB2312" w:hAnsi="仿宋_GB2312" w:eastAsia="仿宋_GB2312" w:cs="仿宋_GB2312"/>
          <w:color w:val="auto"/>
          <w:sz w:val="32"/>
          <w:szCs w:val="32"/>
          <w:u w:val="none"/>
          <w:lang w:val="en-US" w:eastAsia="zh-CN"/>
        </w:rPr>
        <w:t>万元，完成支出率</w:t>
      </w:r>
      <w:r>
        <w:rPr>
          <w:rFonts w:hint="eastAsia" w:ascii="仿宋_GB2312" w:hAnsi="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lang w:val="en-US" w:eastAsia="zh-CN"/>
        </w:rPr>
        <w:t>%。</w:t>
      </w:r>
    </w:p>
    <w:p>
      <w:pPr>
        <w:ind w:firstLine="643" w:firstLineChars="200"/>
        <w:outlineLvl w:val="0"/>
        <w:rPr>
          <w:rFonts w:hint="eastAsia" w:ascii="仿宋_GB2312"/>
          <w:b/>
          <w:bCs/>
          <w:color w:val="auto"/>
          <w:szCs w:val="32"/>
        </w:rPr>
      </w:pPr>
      <w:r>
        <w:rPr>
          <w:rFonts w:ascii="仿宋_GB2312"/>
          <w:b/>
          <w:bCs/>
          <w:color w:val="auto"/>
          <w:szCs w:val="32"/>
        </w:rPr>
        <w:t>2.</w:t>
      </w:r>
      <w:r>
        <w:rPr>
          <w:rFonts w:hint="eastAsia" w:ascii="仿宋_GB2312"/>
          <w:b/>
          <w:bCs/>
          <w:color w:val="auto"/>
          <w:szCs w:val="32"/>
        </w:rPr>
        <w:t>项目资金使用情况分析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2021年，我局认真履行职责，做好</w:t>
      </w:r>
      <w:r>
        <w:rPr>
          <w:rFonts w:hint="eastAsia" w:ascii="仿宋_GB2312" w:hAnsi="仿宋_GB2312" w:cs="仿宋_GB2312"/>
          <w:color w:val="auto"/>
          <w:sz w:val="32"/>
          <w:szCs w:val="32"/>
          <w:lang w:val="en-US" w:eastAsia="zh-CN"/>
        </w:rPr>
        <w:t>商贸</w:t>
      </w:r>
      <w:r>
        <w:rPr>
          <w:rFonts w:hint="eastAsia" w:ascii="仿宋_GB2312" w:hAnsi="仿宋_GB2312" w:eastAsia="仿宋_GB2312" w:cs="仿宋_GB2312"/>
          <w:color w:val="auto"/>
          <w:sz w:val="32"/>
          <w:szCs w:val="32"/>
          <w:lang w:val="en-US" w:eastAsia="zh-CN"/>
        </w:rPr>
        <w:t>相关工作，圆满完成</w:t>
      </w:r>
      <w:r>
        <w:rPr>
          <w:rFonts w:hint="eastAsia" w:ascii="仿宋_GB2312" w:hAnsi="仿宋_GB2312" w:cs="仿宋_GB2312"/>
          <w:color w:val="auto"/>
          <w:sz w:val="32"/>
          <w:szCs w:val="32"/>
          <w:lang w:val="en-US" w:eastAsia="zh-CN"/>
        </w:rPr>
        <w:t>各项商务</w:t>
      </w:r>
      <w:r>
        <w:rPr>
          <w:rFonts w:hint="eastAsia" w:ascii="仿宋_GB2312" w:hAnsi="仿宋_GB2312" w:eastAsia="仿宋_GB2312" w:cs="仿宋_GB2312"/>
          <w:color w:val="auto"/>
          <w:sz w:val="32"/>
          <w:szCs w:val="32"/>
          <w:lang w:val="en-US" w:eastAsia="zh-CN"/>
        </w:rPr>
        <w:t>工作任务。</w:t>
      </w:r>
      <w:r>
        <w:rPr>
          <w:rFonts w:hint="eastAsia" w:ascii="仿宋_GB2312" w:hAnsi="仿宋"/>
          <w:color w:val="auto"/>
          <w:szCs w:val="32"/>
        </w:rPr>
        <w:t>对达到扶持标准的企业给予资金补助，</w:t>
      </w:r>
      <w:r>
        <w:rPr>
          <w:rFonts w:hint="eastAsia" w:ascii="仿宋_GB2312" w:hAnsi="仿宋_GB2312" w:eastAsia="仿宋_GB2312" w:cs="仿宋_GB2312"/>
          <w:color w:val="auto"/>
          <w:sz w:val="32"/>
          <w:szCs w:val="32"/>
          <w:lang w:val="en-US" w:eastAsia="zh-CN"/>
        </w:rPr>
        <w:t>按程序及时兑现扶持资金。</w:t>
      </w:r>
    </w:p>
    <w:p>
      <w:pPr>
        <w:ind w:firstLine="643" w:firstLineChars="200"/>
        <w:outlineLvl w:val="0"/>
        <w:rPr>
          <w:rFonts w:hint="eastAsia" w:ascii="仿宋_GB2312"/>
          <w:b/>
          <w:bCs/>
          <w:color w:val="auto"/>
          <w:szCs w:val="32"/>
        </w:rPr>
      </w:pPr>
      <w:r>
        <w:rPr>
          <w:rFonts w:ascii="仿宋_GB2312"/>
          <w:b/>
          <w:bCs/>
          <w:color w:val="auto"/>
          <w:szCs w:val="32"/>
        </w:rPr>
        <w:t>3.</w:t>
      </w:r>
      <w:r>
        <w:rPr>
          <w:rFonts w:hint="eastAsia" w:ascii="仿宋_GB2312"/>
          <w:b/>
          <w:bCs/>
          <w:color w:val="auto"/>
          <w:szCs w:val="32"/>
        </w:rPr>
        <w:t>项目资金管理情况分析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auto"/>
          <w:szCs w:val="32"/>
        </w:rPr>
      </w:pPr>
      <w:r>
        <w:rPr>
          <w:rFonts w:hint="eastAsia" w:ascii="仿宋_GB2312" w:hAnsi="仿宋"/>
          <w:color w:val="auto"/>
          <w:szCs w:val="32"/>
        </w:rPr>
        <w:t>我局制定了财务管理制度、公务接待管理制度、重大事项集体决策制度，项目资金支出时严格按照法律法规有关规定，严格按照程序进行决策。规范专项资金的使用和管理，严格财政专项资金的审批拨付程序，实行专款专用，无挤占、挪用、截留等违法违规使用财政专项资金的现象。</w:t>
      </w:r>
    </w:p>
    <w:p>
      <w:pPr>
        <w:ind w:firstLine="640" w:firstLineChars="200"/>
        <w:rPr>
          <w:rFonts w:hint="eastAsia" w:ascii="楷体" w:hAnsi="楷体" w:eastAsia="楷体" w:cs="楷体"/>
          <w:bCs/>
          <w:color w:val="auto"/>
          <w:szCs w:val="32"/>
        </w:rPr>
      </w:pPr>
      <w:r>
        <w:rPr>
          <w:rFonts w:hint="eastAsia" w:ascii="楷体" w:hAnsi="楷体" w:eastAsia="楷体" w:cs="楷体"/>
          <w:bCs/>
          <w:color w:val="auto"/>
          <w:szCs w:val="32"/>
        </w:rPr>
        <w:t>（二）项目实施情况分析</w:t>
      </w:r>
    </w:p>
    <w:p>
      <w:pPr>
        <w:ind w:firstLine="643" w:firstLineChars="200"/>
        <w:outlineLvl w:val="0"/>
        <w:rPr>
          <w:rFonts w:hint="eastAsia" w:ascii="仿宋_GB2312"/>
          <w:b/>
          <w:bCs/>
          <w:color w:val="auto"/>
          <w:szCs w:val="32"/>
        </w:rPr>
      </w:pPr>
      <w:r>
        <w:rPr>
          <w:rFonts w:ascii="仿宋_GB2312"/>
          <w:b/>
          <w:bCs/>
          <w:color w:val="auto"/>
          <w:szCs w:val="32"/>
        </w:rPr>
        <w:t>1.</w:t>
      </w:r>
      <w:r>
        <w:rPr>
          <w:rFonts w:hint="eastAsia" w:ascii="仿宋_GB2312"/>
          <w:b/>
          <w:bCs/>
          <w:color w:val="auto"/>
          <w:szCs w:val="32"/>
        </w:rPr>
        <w:t>项目组织情况分析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olor w:val="auto"/>
          <w:szCs w:val="32"/>
        </w:rPr>
      </w:pPr>
      <w:r>
        <w:rPr>
          <w:rFonts w:hint="eastAsia" w:ascii="仿宋_GB2312" w:hAnsi="仿宋"/>
          <w:color w:val="auto"/>
          <w:szCs w:val="32"/>
        </w:rPr>
        <w:t>严格根据相关政策要求，积极联系各街道组织符合条件的企业申报对企业扶持</w:t>
      </w:r>
      <w:r>
        <w:rPr>
          <w:rFonts w:hint="eastAsia" w:ascii="仿宋_GB2312" w:hAnsi="仿宋"/>
          <w:color w:val="auto"/>
          <w:szCs w:val="32"/>
          <w:lang w:val="en-US" w:eastAsia="zh-CN"/>
        </w:rPr>
        <w:t>考核专项经费</w:t>
      </w:r>
      <w:r>
        <w:rPr>
          <w:rFonts w:hint="eastAsia" w:ascii="仿宋_GB2312" w:hAnsi="仿宋"/>
          <w:color w:val="auto"/>
          <w:szCs w:val="32"/>
        </w:rPr>
        <w:t>项目。</w:t>
      </w:r>
    </w:p>
    <w:p>
      <w:pPr>
        <w:ind w:firstLine="643" w:firstLineChars="200"/>
        <w:outlineLvl w:val="0"/>
        <w:rPr>
          <w:rFonts w:hint="eastAsia" w:ascii="仿宋_GB2312"/>
          <w:b/>
          <w:bCs/>
          <w:color w:val="auto"/>
          <w:szCs w:val="32"/>
        </w:rPr>
      </w:pPr>
      <w:r>
        <w:rPr>
          <w:rFonts w:ascii="仿宋_GB2312"/>
          <w:b/>
          <w:bCs/>
          <w:color w:val="auto"/>
          <w:szCs w:val="32"/>
        </w:rPr>
        <w:t>2.</w:t>
      </w:r>
      <w:r>
        <w:rPr>
          <w:rFonts w:hint="eastAsia" w:ascii="仿宋_GB2312"/>
          <w:b/>
          <w:bCs/>
          <w:color w:val="auto"/>
          <w:szCs w:val="32"/>
        </w:rPr>
        <w:t>项目管理情况分析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olor w:val="auto"/>
          <w:szCs w:val="32"/>
        </w:rPr>
      </w:pPr>
      <w:r>
        <w:rPr>
          <w:rFonts w:hint="eastAsia" w:ascii="仿宋_GB2312" w:hAnsi="仿宋"/>
          <w:color w:val="auto"/>
          <w:szCs w:val="32"/>
        </w:rPr>
        <w:t>依据《</w:t>
      </w:r>
      <w:r>
        <w:rPr>
          <w:rFonts w:hint="eastAsia" w:ascii="仿宋_GB2312" w:hAnsi="仿宋_GB2312" w:eastAsia="仿宋_GB2312" w:cs="仿宋_GB2312"/>
          <w:b w:val="0"/>
          <w:bCs w:val="0"/>
          <w:color w:val="auto"/>
          <w:sz w:val="32"/>
          <w:szCs w:val="32"/>
        </w:rPr>
        <w:t>昆明市呈贡区商务和投资促进局关于兑现拨付昆明市2020年促费稳增长扶持奖励资金的通知</w:t>
      </w:r>
      <w:r>
        <w:rPr>
          <w:rFonts w:hint="eastAsia" w:ascii="仿宋_GB2312" w:hAnsi="仿宋"/>
          <w:color w:val="auto"/>
          <w:szCs w:val="32"/>
        </w:rPr>
        <w:t>》和《呈贡区2</w:t>
      </w:r>
      <w:r>
        <w:rPr>
          <w:rFonts w:hint="eastAsia" w:ascii="仿宋_GB2312" w:hAnsi="仿宋"/>
          <w:color w:val="auto"/>
          <w:szCs w:val="32"/>
          <w:lang w:val="en-US" w:eastAsia="zh-CN"/>
        </w:rPr>
        <w:t>021</w:t>
      </w:r>
      <w:r>
        <w:rPr>
          <w:rFonts w:hint="eastAsia" w:ascii="仿宋_GB2312" w:hAnsi="仿宋"/>
          <w:color w:val="auto"/>
          <w:szCs w:val="32"/>
        </w:rPr>
        <w:t>年新春欢乐购活动方案》扶持文件的要求，我局加强对企业前期的摸底、核查、走访，对达到扶持标准的企业给予资金补助，资金分配方面严格按各企业应享受的补助（奖励）金额足额兑现企业。按照财务管理制度，加强资金拨付流程审核，严格专款专用，通过资金使用并能产生一定的经济、社会效益。</w:t>
      </w:r>
    </w:p>
    <w:p>
      <w:pPr>
        <w:ind w:firstLine="640" w:firstLineChars="200"/>
        <w:rPr>
          <w:rFonts w:hint="eastAsia" w:ascii="楷体" w:hAnsi="楷体" w:eastAsia="楷体" w:cs="楷体"/>
          <w:bCs/>
          <w:color w:val="auto"/>
          <w:szCs w:val="32"/>
        </w:rPr>
      </w:pPr>
      <w:r>
        <w:rPr>
          <w:rFonts w:hint="eastAsia" w:ascii="楷体" w:hAnsi="楷体" w:eastAsia="楷体" w:cs="楷体"/>
          <w:bCs/>
          <w:color w:val="auto"/>
          <w:szCs w:val="32"/>
        </w:rPr>
        <w:t>（三）项目绩效情况分析</w:t>
      </w:r>
    </w:p>
    <w:p>
      <w:pPr>
        <w:ind w:firstLine="643" w:firstLineChars="200"/>
        <w:outlineLvl w:val="0"/>
        <w:rPr>
          <w:rFonts w:hint="eastAsia" w:ascii="仿宋_GB2312"/>
          <w:b/>
          <w:bCs/>
          <w:color w:val="auto"/>
          <w:szCs w:val="32"/>
        </w:rPr>
      </w:pPr>
      <w:r>
        <w:rPr>
          <w:rFonts w:ascii="仿宋_GB2312"/>
          <w:b/>
          <w:bCs/>
          <w:color w:val="auto"/>
          <w:szCs w:val="32"/>
        </w:rPr>
        <w:t>1.</w:t>
      </w:r>
      <w:r>
        <w:rPr>
          <w:rFonts w:hint="eastAsia" w:ascii="仿宋_GB2312"/>
          <w:b/>
          <w:bCs/>
          <w:color w:val="auto"/>
          <w:szCs w:val="32"/>
        </w:rPr>
        <w:t>项目经济性分析</w:t>
      </w:r>
    </w:p>
    <w:p>
      <w:pPr>
        <w:ind w:firstLine="640" w:firstLineChars="200"/>
        <w:outlineLvl w:val="0"/>
        <w:rPr>
          <w:rFonts w:hint="eastAsia" w:ascii="仿宋_GB2312"/>
          <w:color w:val="auto"/>
          <w:szCs w:val="32"/>
        </w:rPr>
      </w:pPr>
      <w:r>
        <w:rPr>
          <w:rFonts w:hint="eastAsia" w:ascii="仿宋_GB2312"/>
          <w:color w:val="auto"/>
          <w:szCs w:val="32"/>
        </w:rPr>
        <w:t>（</w:t>
      </w:r>
      <w:r>
        <w:rPr>
          <w:rFonts w:ascii="仿宋_GB2312"/>
          <w:color w:val="auto"/>
          <w:szCs w:val="32"/>
        </w:rPr>
        <w:t>1</w:t>
      </w:r>
      <w:r>
        <w:rPr>
          <w:rFonts w:hint="eastAsia" w:ascii="仿宋_GB2312"/>
          <w:color w:val="auto"/>
          <w:szCs w:val="32"/>
        </w:rPr>
        <w:t>）项目成本（预算）控制情况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olor w:val="auto"/>
          <w:szCs w:val="32"/>
        </w:rPr>
      </w:pPr>
      <w:r>
        <w:rPr>
          <w:rFonts w:hint="eastAsia" w:ascii="仿宋_GB2312" w:hAnsi="仿宋"/>
          <w:color w:val="auto"/>
          <w:szCs w:val="32"/>
        </w:rPr>
        <w:t>严格依据库内企业情况，上年奖励补贴发放情况，结合实际，严格进行项目成本控制核算。</w:t>
      </w:r>
    </w:p>
    <w:p>
      <w:pPr>
        <w:ind w:firstLine="640" w:firstLineChars="200"/>
        <w:rPr>
          <w:rFonts w:hint="eastAsia" w:ascii="仿宋_GB2312" w:hAnsi="仿宋"/>
          <w:color w:val="auto"/>
          <w:szCs w:val="32"/>
        </w:rPr>
      </w:pPr>
      <w:r>
        <w:rPr>
          <w:rFonts w:hint="eastAsia" w:ascii="仿宋_GB2312" w:hAnsi="仿宋"/>
          <w:color w:val="auto"/>
          <w:szCs w:val="32"/>
        </w:rPr>
        <w:t>（</w:t>
      </w:r>
      <w:r>
        <w:rPr>
          <w:rFonts w:ascii="仿宋_GB2312" w:hAnsi="仿宋"/>
          <w:color w:val="auto"/>
          <w:szCs w:val="32"/>
        </w:rPr>
        <w:t>2</w:t>
      </w:r>
      <w:r>
        <w:rPr>
          <w:rFonts w:hint="eastAsia" w:ascii="仿宋_GB2312" w:hAnsi="仿宋"/>
          <w:color w:val="auto"/>
          <w:szCs w:val="32"/>
        </w:rPr>
        <w:t>）项目成本（预算）节约情况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
          <w:color w:val="auto"/>
          <w:szCs w:val="32"/>
        </w:rPr>
        <w:t>建立了详实的项目管理制度和财务管理制度，加强过程管理和成本控制节约。</w:t>
      </w:r>
      <w:r>
        <w:rPr>
          <w:rFonts w:hint="eastAsia" w:ascii="仿宋_GB2312" w:hAnsi="仿宋_GB2312" w:eastAsia="仿宋_GB2312" w:cs="仿宋_GB2312"/>
          <w:color w:val="auto"/>
          <w:sz w:val="32"/>
          <w:szCs w:val="32"/>
          <w:u w:val="none"/>
          <w:lang w:eastAsia="zh-CN"/>
        </w:rPr>
        <w:t>“</w:t>
      </w:r>
      <w:r>
        <w:rPr>
          <w:rFonts w:hint="eastAsia" w:ascii="仿宋_GB2312" w:hAnsi="仿宋"/>
          <w:color w:val="auto"/>
          <w:szCs w:val="32"/>
        </w:rPr>
        <w:t>对企业扶持考核</w:t>
      </w:r>
      <w:r>
        <w:rPr>
          <w:rFonts w:hint="eastAsia" w:ascii="仿宋_GB2312" w:hAnsi="仿宋"/>
          <w:color w:val="auto"/>
          <w:szCs w:val="32"/>
          <w:lang w:val="en-US" w:eastAsia="zh-CN"/>
        </w:rPr>
        <w:t>专项经费</w:t>
      </w:r>
      <w:r>
        <w:rPr>
          <w:rFonts w:hint="eastAsia" w:ascii="仿宋_GB2312" w:hAnsi="仿宋_GB2312" w:eastAsia="仿宋_GB2312" w:cs="仿宋_GB2312"/>
          <w:color w:val="auto"/>
          <w:sz w:val="32"/>
          <w:szCs w:val="32"/>
          <w:u w:val="none"/>
          <w:lang w:eastAsia="zh-CN"/>
        </w:rPr>
        <w:t>”</w:t>
      </w:r>
      <w:r>
        <w:rPr>
          <w:rFonts w:hint="eastAsia" w:ascii="仿宋_GB2312" w:hAnsi="仿宋"/>
          <w:color w:val="auto"/>
          <w:szCs w:val="32"/>
        </w:rPr>
        <w:t>实际支出</w:t>
      </w:r>
      <w:r>
        <w:rPr>
          <w:rFonts w:hint="eastAsia" w:ascii="仿宋_GB2312" w:hAnsi="仿宋_GB2312" w:cs="仿宋_GB2312"/>
          <w:color w:val="auto"/>
          <w:sz w:val="32"/>
          <w:szCs w:val="32"/>
          <w:u w:val="none"/>
          <w:lang w:val="en-US" w:eastAsia="zh-CN"/>
        </w:rPr>
        <w:t>1194</w:t>
      </w:r>
      <w:r>
        <w:rPr>
          <w:rFonts w:hint="eastAsia" w:ascii="仿宋_GB2312" w:hAnsi="仿宋_GB2312" w:eastAsia="仿宋_GB2312" w:cs="仿宋_GB2312"/>
          <w:color w:val="auto"/>
          <w:sz w:val="32"/>
          <w:szCs w:val="32"/>
          <w:u w:val="none"/>
          <w:lang w:val="en-US" w:eastAsia="zh-CN"/>
        </w:rPr>
        <w:t>.00</w:t>
      </w:r>
      <w:r>
        <w:rPr>
          <w:rFonts w:hint="eastAsia" w:ascii="仿宋_GB2312" w:hAnsi="仿宋"/>
          <w:color w:val="auto"/>
          <w:szCs w:val="32"/>
        </w:rPr>
        <w:t>万元，</w:t>
      </w:r>
      <w:r>
        <w:rPr>
          <w:rFonts w:hint="eastAsia" w:ascii="仿宋_GB2312" w:hAnsi="仿宋_GB2312" w:eastAsia="仿宋_GB2312" w:cs="仿宋_GB2312"/>
          <w:color w:val="auto"/>
          <w:sz w:val="32"/>
          <w:szCs w:val="32"/>
          <w:u w:val="none"/>
          <w:lang w:val="en-US" w:eastAsia="zh-CN"/>
        </w:rPr>
        <w:t>完成支出率</w:t>
      </w:r>
      <w:r>
        <w:rPr>
          <w:rFonts w:hint="eastAsia" w:ascii="仿宋_GB2312" w:hAnsi="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lang w:val="en-US" w:eastAsia="zh-CN"/>
        </w:rPr>
        <w:t>%。</w:t>
      </w:r>
    </w:p>
    <w:p>
      <w:pPr>
        <w:ind w:firstLine="643" w:firstLineChars="200"/>
        <w:outlineLvl w:val="0"/>
        <w:rPr>
          <w:rFonts w:hint="eastAsia" w:ascii="仿宋_GB2312"/>
          <w:b/>
          <w:bCs/>
          <w:color w:val="auto"/>
          <w:szCs w:val="32"/>
        </w:rPr>
      </w:pPr>
      <w:r>
        <w:rPr>
          <w:rFonts w:ascii="仿宋_GB2312"/>
          <w:b/>
          <w:bCs/>
          <w:color w:val="auto"/>
          <w:szCs w:val="32"/>
        </w:rPr>
        <w:t>2.</w:t>
      </w:r>
      <w:r>
        <w:rPr>
          <w:rFonts w:hint="eastAsia" w:ascii="仿宋_GB2312"/>
          <w:b/>
          <w:bCs/>
          <w:color w:val="auto"/>
          <w:szCs w:val="32"/>
        </w:rPr>
        <w:t>项目的效率性分析</w:t>
      </w:r>
    </w:p>
    <w:p>
      <w:pPr>
        <w:ind w:firstLine="640" w:firstLineChars="200"/>
        <w:outlineLvl w:val="0"/>
        <w:rPr>
          <w:rFonts w:hint="eastAsia" w:ascii="仿宋_GB2312"/>
          <w:color w:val="auto"/>
          <w:szCs w:val="32"/>
        </w:rPr>
      </w:pPr>
      <w:r>
        <w:rPr>
          <w:rFonts w:hint="eastAsia" w:ascii="仿宋_GB2312"/>
          <w:color w:val="auto"/>
          <w:szCs w:val="32"/>
        </w:rPr>
        <w:t>（</w:t>
      </w:r>
      <w:r>
        <w:rPr>
          <w:rFonts w:ascii="仿宋_GB2312"/>
          <w:color w:val="auto"/>
          <w:szCs w:val="32"/>
        </w:rPr>
        <w:t>1</w:t>
      </w:r>
      <w:r>
        <w:rPr>
          <w:rFonts w:hint="eastAsia" w:ascii="仿宋_GB2312"/>
          <w:color w:val="auto"/>
          <w:szCs w:val="32"/>
        </w:rPr>
        <w:t>）项目的实施进度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olor w:val="auto"/>
          <w:szCs w:val="32"/>
        </w:rPr>
      </w:pPr>
      <w:r>
        <w:rPr>
          <w:rFonts w:hint="eastAsia" w:ascii="仿宋_GB2312" w:hAnsi="仿宋"/>
          <w:color w:val="auto"/>
          <w:szCs w:val="32"/>
        </w:rPr>
        <w:t>截至20</w:t>
      </w:r>
      <w:r>
        <w:rPr>
          <w:rFonts w:hint="eastAsia" w:ascii="仿宋_GB2312" w:hAnsi="仿宋"/>
          <w:color w:val="auto"/>
          <w:szCs w:val="32"/>
          <w:lang w:val="en-US" w:eastAsia="zh-CN"/>
        </w:rPr>
        <w:t>21</w:t>
      </w:r>
      <w:r>
        <w:rPr>
          <w:rFonts w:hint="eastAsia" w:ascii="仿宋_GB2312" w:hAnsi="仿宋"/>
          <w:color w:val="auto"/>
          <w:szCs w:val="32"/>
        </w:rPr>
        <w:t>年12月31日，对企业扶持考核</w:t>
      </w:r>
      <w:r>
        <w:rPr>
          <w:rFonts w:hint="eastAsia" w:ascii="仿宋_GB2312" w:hAnsi="仿宋"/>
          <w:color w:val="auto"/>
          <w:szCs w:val="32"/>
          <w:lang w:val="en-US" w:eastAsia="zh-CN"/>
        </w:rPr>
        <w:t>专项经费</w:t>
      </w:r>
      <w:r>
        <w:rPr>
          <w:rFonts w:hint="eastAsia" w:ascii="仿宋_GB2312" w:hAnsi="仿宋"/>
          <w:color w:val="auto"/>
          <w:szCs w:val="32"/>
        </w:rPr>
        <w:t>已全部完成</w:t>
      </w:r>
      <w:r>
        <w:rPr>
          <w:rFonts w:hint="eastAsia" w:ascii="仿宋_GB2312" w:hAnsi="仿宋"/>
          <w:color w:val="auto"/>
          <w:szCs w:val="32"/>
          <w:lang w:eastAsia="zh-CN"/>
        </w:rPr>
        <w:t>扶持补助</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w:t>
      </w:r>
      <w:r>
        <w:rPr>
          <w:rFonts w:ascii="仿宋_GB2312" w:hAnsi="仿宋"/>
          <w:color w:val="auto"/>
          <w:szCs w:val="32"/>
        </w:rPr>
        <w:t>2</w:t>
      </w:r>
      <w:r>
        <w:rPr>
          <w:rFonts w:hint="eastAsia" w:ascii="仿宋_GB2312" w:hAnsi="仿宋"/>
          <w:color w:val="auto"/>
          <w:szCs w:val="32"/>
        </w:rPr>
        <w:t>）项目完成质量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olor w:val="auto"/>
          <w:szCs w:val="32"/>
        </w:rPr>
      </w:pPr>
      <w:r>
        <w:rPr>
          <w:rFonts w:hint="eastAsia" w:ascii="仿宋_GB2312" w:hAnsi="仿宋"/>
          <w:color w:val="auto"/>
          <w:szCs w:val="32"/>
        </w:rPr>
        <w:t>20</w:t>
      </w:r>
      <w:r>
        <w:rPr>
          <w:rFonts w:hint="eastAsia" w:ascii="仿宋_GB2312" w:hAnsi="仿宋"/>
          <w:color w:val="auto"/>
          <w:szCs w:val="32"/>
          <w:lang w:val="en-US" w:eastAsia="zh-CN"/>
        </w:rPr>
        <w:t>20</w:t>
      </w:r>
      <w:r>
        <w:rPr>
          <w:rFonts w:hint="eastAsia" w:ascii="仿宋_GB2312" w:hAnsi="仿宋"/>
          <w:color w:val="auto"/>
          <w:szCs w:val="32"/>
        </w:rPr>
        <w:t>年市级下达社会消费品零售总额限额以上同比增长</w:t>
      </w:r>
      <w:r>
        <w:rPr>
          <w:rFonts w:hint="eastAsia" w:ascii="仿宋_GB2312" w:hAnsi="仿宋"/>
          <w:color w:val="auto"/>
          <w:szCs w:val="32"/>
          <w:lang w:val="en-US" w:eastAsia="zh-CN"/>
        </w:rPr>
        <w:t>12</w:t>
      </w:r>
      <w:r>
        <w:rPr>
          <w:rFonts w:hint="eastAsia" w:ascii="仿宋_GB2312" w:hAnsi="仿宋"/>
          <w:color w:val="auto"/>
          <w:szCs w:val="32"/>
        </w:rPr>
        <w:t>%的目标任务。完成同比增长</w:t>
      </w:r>
      <w:r>
        <w:rPr>
          <w:rFonts w:hint="eastAsia" w:ascii="仿宋_GB2312" w:hAnsi="仿宋"/>
          <w:color w:val="auto"/>
          <w:szCs w:val="32"/>
          <w:lang w:val="en-US" w:eastAsia="zh-CN"/>
        </w:rPr>
        <w:t>41.6</w:t>
      </w:r>
      <w:r>
        <w:rPr>
          <w:rFonts w:hint="eastAsia" w:ascii="仿宋_GB2312" w:hAnsi="仿宋"/>
          <w:color w:val="auto"/>
          <w:szCs w:val="32"/>
        </w:rPr>
        <w:t>%，超额完成目标任务，成为全市社消排头兵。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olor w:val="auto"/>
          <w:szCs w:val="32"/>
        </w:rPr>
      </w:pPr>
      <w:r>
        <w:rPr>
          <w:rFonts w:hint="eastAsia" w:ascii="仿宋_GB2312" w:hAnsi="仿宋"/>
          <w:color w:val="auto"/>
          <w:szCs w:val="32"/>
        </w:rPr>
        <w:t>20</w:t>
      </w:r>
      <w:r>
        <w:rPr>
          <w:rFonts w:hint="eastAsia" w:ascii="仿宋_GB2312" w:hAnsi="仿宋"/>
          <w:color w:val="auto"/>
          <w:szCs w:val="32"/>
          <w:lang w:val="en-US" w:eastAsia="zh-CN"/>
        </w:rPr>
        <w:t>21</w:t>
      </w:r>
      <w:r>
        <w:rPr>
          <w:rFonts w:hint="eastAsia" w:ascii="仿宋_GB2312" w:hAnsi="仿宋"/>
          <w:color w:val="auto"/>
          <w:szCs w:val="32"/>
        </w:rPr>
        <w:t>年1-</w:t>
      </w:r>
      <w:r>
        <w:rPr>
          <w:rFonts w:hint="eastAsia" w:ascii="仿宋_GB2312" w:hAnsi="仿宋"/>
          <w:color w:val="auto"/>
          <w:szCs w:val="32"/>
          <w:lang w:val="en-US" w:eastAsia="zh-CN"/>
        </w:rPr>
        <w:t>6</w:t>
      </w:r>
      <w:r>
        <w:rPr>
          <w:rFonts w:hint="eastAsia" w:ascii="仿宋_GB2312" w:hAnsi="仿宋"/>
          <w:color w:val="auto"/>
          <w:szCs w:val="32"/>
        </w:rPr>
        <w:t>月我区社会消费品零售总额完成目标任务增速达</w:t>
      </w:r>
      <w:r>
        <w:rPr>
          <w:rFonts w:hint="eastAsia" w:ascii="仿宋_GB2312" w:hAnsi="仿宋"/>
          <w:color w:val="auto"/>
          <w:szCs w:val="32"/>
          <w:lang w:val="en-US" w:eastAsia="zh-CN"/>
        </w:rPr>
        <w:t>16.1</w:t>
      </w:r>
      <w:r>
        <w:rPr>
          <w:rFonts w:hint="eastAsia" w:ascii="仿宋_GB2312" w:hAnsi="仿宋"/>
          <w:color w:val="auto"/>
          <w:szCs w:val="32"/>
        </w:rPr>
        <w:t>%，批发业增速达</w:t>
      </w:r>
      <w:r>
        <w:rPr>
          <w:rFonts w:hint="eastAsia" w:ascii="仿宋_GB2312" w:hAnsi="仿宋"/>
          <w:color w:val="auto"/>
          <w:szCs w:val="32"/>
          <w:lang w:val="en-US" w:eastAsia="zh-CN"/>
        </w:rPr>
        <w:t>26.3</w:t>
      </w:r>
      <w:r>
        <w:rPr>
          <w:rFonts w:hint="eastAsia" w:ascii="仿宋_GB2312" w:hAnsi="仿宋"/>
          <w:color w:val="auto"/>
          <w:szCs w:val="32"/>
        </w:rPr>
        <w:t>%，零售业增速达</w:t>
      </w:r>
      <w:r>
        <w:rPr>
          <w:rFonts w:hint="eastAsia" w:ascii="仿宋_GB2312" w:hAnsi="仿宋"/>
          <w:color w:val="auto"/>
          <w:szCs w:val="32"/>
          <w:lang w:val="en-US" w:eastAsia="zh-CN"/>
        </w:rPr>
        <w:t>9.9</w:t>
      </w:r>
      <w:r>
        <w:rPr>
          <w:rFonts w:hint="eastAsia" w:ascii="仿宋_GB2312" w:hAnsi="仿宋"/>
          <w:color w:val="auto"/>
          <w:szCs w:val="32"/>
        </w:rPr>
        <w:t>%，餐饮业增速达</w:t>
      </w:r>
      <w:r>
        <w:rPr>
          <w:rFonts w:hint="eastAsia" w:ascii="仿宋_GB2312" w:hAnsi="仿宋"/>
          <w:color w:val="auto"/>
          <w:szCs w:val="32"/>
          <w:lang w:val="en-US" w:eastAsia="zh-CN"/>
        </w:rPr>
        <w:t>69.2</w:t>
      </w:r>
      <w:r>
        <w:rPr>
          <w:rFonts w:hint="eastAsia" w:ascii="仿宋_GB2312" w:hAnsi="仿宋"/>
          <w:color w:val="auto"/>
          <w:szCs w:val="32"/>
        </w:rPr>
        <w:t>%，实现了20</w:t>
      </w:r>
      <w:r>
        <w:rPr>
          <w:rFonts w:hint="eastAsia" w:ascii="仿宋_GB2312" w:hAnsi="仿宋"/>
          <w:color w:val="auto"/>
          <w:szCs w:val="32"/>
          <w:lang w:val="en-US" w:eastAsia="zh-CN"/>
        </w:rPr>
        <w:t>21</w:t>
      </w:r>
      <w:r>
        <w:rPr>
          <w:rFonts w:hint="eastAsia" w:ascii="仿宋_GB2312" w:hAnsi="仿宋"/>
          <w:color w:val="auto"/>
          <w:szCs w:val="32"/>
        </w:rPr>
        <w:t>年全区消费开门红的目标。</w:t>
      </w:r>
    </w:p>
    <w:p>
      <w:pPr>
        <w:ind w:firstLine="643" w:firstLineChars="200"/>
        <w:outlineLvl w:val="0"/>
        <w:rPr>
          <w:rFonts w:hint="eastAsia" w:ascii="仿宋_GB2312"/>
          <w:b/>
          <w:bCs/>
          <w:color w:val="auto"/>
          <w:szCs w:val="32"/>
        </w:rPr>
      </w:pPr>
      <w:r>
        <w:rPr>
          <w:rFonts w:hint="eastAsia" w:ascii="仿宋_GB2312"/>
          <w:b/>
          <w:bCs/>
          <w:color w:val="auto"/>
          <w:szCs w:val="32"/>
        </w:rPr>
        <w:t>3.项目的效益性分析</w:t>
      </w:r>
    </w:p>
    <w:p>
      <w:pPr>
        <w:ind w:firstLine="643" w:firstLineChars="200"/>
        <w:outlineLvl w:val="0"/>
        <w:rPr>
          <w:rFonts w:hint="eastAsia" w:ascii="仿宋_GB2312"/>
          <w:b/>
          <w:bCs/>
          <w:color w:val="auto"/>
          <w:szCs w:val="32"/>
        </w:rPr>
      </w:pPr>
      <w:r>
        <w:rPr>
          <w:rFonts w:hint="eastAsia" w:ascii="仿宋_GB2312"/>
          <w:b/>
          <w:bCs/>
          <w:color w:val="auto"/>
          <w:szCs w:val="32"/>
        </w:rPr>
        <w:t>（1）项目预期目标完成程度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olor w:val="auto"/>
          <w:szCs w:val="32"/>
        </w:rPr>
      </w:pPr>
      <w:r>
        <w:rPr>
          <w:rFonts w:hint="eastAsia" w:ascii="仿宋_GB2312" w:hAnsi="仿宋"/>
          <w:color w:val="auto"/>
          <w:szCs w:val="32"/>
        </w:rPr>
        <w:t>项目预期目标全部完成。</w:t>
      </w:r>
    </w:p>
    <w:p>
      <w:pPr>
        <w:ind w:firstLine="643" w:firstLineChars="200"/>
        <w:outlineLvl w:val="0"/>
        <w:rPr>
          <w:rFonts w:hint="eastAsia" w:ascii="仿宋_GB2312"/>
          <w:b/>
          <w:bCs/>
          <w:color w:val="auto"/>
          <w:szCs w:val="32"/>
        </w:rPr>
      </w:pPr>
      <w:r>
        <w:rPr>
          <w:rFonts w:hint="eastAsia" w:ascii="仿宋_GB2312"/>
          <w:b/>
          <w:bCs/>
          <w:color w:val="auto"/>
          <w:szCs w:val="32"/>
        </w:rPr>
        <w:t>（2）项目实施对经济和社会的影响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top"/>
        <w:rPr>
          <w:rFonts w:hint="eastAsia" w:ascii="仿宋_GB2312" w:hAnsi="仿宋"/>
          <w:color w:val="auto"/>
          <w:szCs w:val="32"/>
        </w:rPr>
      </w:pPr>
      <w:r>
        <w:rPr>
          <w:rFonts w:hint="eastAsia" w:ascii="仿宋_GB2312" w:hAnsi="仿宋"/>
          <w:color w:val="auto"/>
          <w:szCs w:val="32"/>
        </w:rPr>
        <w:t>各个扶持企业开展此项工作，无论从企业经济效益角度看，还是从社会效益看，其意义都是非常重大的。对企业扶持考核专项的补助促进了我区产业转型升级和经济结构优化，促进全区经济平稳发展。同时丰富了周边居民生活需求，带动呈贡片区商业健康发展，调动企业发展的积极性，促进商贸流通服务业企业的发展，支持社区实体经济发展，促进外贸企业发展，受到企业普遍好评，提升呈贡消费者满意度。</w:t>
      </w:r>
    </w:p>
    <w:p>
      <w:pPr>
        <w:ind w:firstLine="640" w:firstLineChars="200"/>
        <w:rPr>
          <w:rFonts w:hint="eastAsia" w:ascii="仿宋_GB2312"/>
          <w:b/>
          <w:color w:val="auto"/>
          <w:szCs w:val="32"/>
        </w:rPr>
      </w:pPr>
      <w:r>
        <w:rPr>
          <w:rFonts w:hint="eastAsia" w:ascii="黑体" w:hAnsi="黑体" w:eastAsia="黑体"/>
          <w:color w:val="auto"/>
          <w:szCs w:val="32"/>
        </w:rPr>
        <w:t>五、综合评价情况及评价结论</w:t>
      </w:r>
      <w:r>
        <w:rPr>
          <w:rFonts w:hint="eastAsia" w:ascii="仿宋_GB2312"/>
          <w:bCs/>
          <w:color w:val="auto"/>
          <w:szCs w:val="32"/>
        </w:rPr>
        <w:t>（附相关评分表）</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top"/>
        <w:rPr>
          <w:rFonts w:ascii="仿宋_GB2312" w:hAnsi="仿宋"/>
          <w:color w:val="auto"/>
          <w:szCs w:val="32"/>
        </w:rPr>
      </w:pPr>
      <w:r>
        <w:rPr>
          <w:rFonts w:hint="eastAsia" w:ascii="仿宋_GB2312" w:hAnsi="仿宋"/>
          <w:color w:val="auto"/>
          <w:szCs w:val="32"/>
        </w:rPr>
        <w:t>对企业扶持</w:t>
      </w:r>
      <w:r>
        <w:rPr>
          <w:rFonts w:hint="eastAsia" w:ascii="仿宋_GB2312" w:hAnsi="仿宋"/>
          <w:color w:val="auto"/>
          <w:szCs w:val="32"/>
          <w:lang w:val="en-US" w:eastAsia="zh-CN"/>
        </w:rPr>
        <w:t>考核专项经费</w:t>
      </w:r>
      <w:r>
        <w:rPr>
          <w:rFonts w:hint="eastAsia" w:ascii="仿宋_GB2312" w:hAnsi="仿宋"/>
          <w:color w:val="auto"/>
          <w:szCs w:val="32"/>
        </w:rPr>
        <w:t>项目绩效评价自评100分。</w:t>
      </w:r>
    </w:p>
    <w:p>
      <w:pPr>
        <w:ind w:firstLine="640" w:firstLineChars="200"/>
        <w:rPr>
          <w:rFonts w:hint="eastAsia" w:ascii="黑体" w:hAnsi="黑体" w:eastAsia="黑体"/>
          <w:color w:val="auto"/>
          <w:szCs w:val="32"/>
        </w:rPr>
      </w:pPr>
      <w:r>
        <w:rPr>
          <w:rFonts w:hint="eastAsia" w:ascii="黑体" w:hAnsi="黑体" w:eastAsia="黑体"/>
          <w:color w:val="auto"/>
          <w:szCs w:val="32"/>
        </w:rPr>
        <w:t>六、绩效评价结果应用建议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top"/>
        <w:rPr>
          <w:rFonts w:ascii="仿宋_GB2312" w:hAnsi="仿宋"/>
          <w:color w:val="auto"/>
          <w:szCs w:val="32"/>
        </w:rPr>
      </w:pPr>
      <w:r>
        <w:rPr>
          <w:rFonts w:hint="eastAsia" w:ascii="仿宋_GB2312" w:hAnsi="仿宋"/>
          <w:color w:val="auto"/>
          <w:szCs w:val="32"/>
        </w:rPr>
        <w:t>年度预算安排严格遵照预算流程，充分考虑本年库内企业经营情况和奖补情况，结合实际制订下年预算。完成评价后及时按照文件要求公开评价。</w:t>
      </w:r>
    </w:p>
    <w:p>
      <w:pPr>
        <w:ind w:firstLine="640" w:firstLineChars="200"/>
        <w:jc w:val="right"/>
        <w:rPr>
          <w:rFonts w:hint="eastAsia" w:ascii="黑体" w:hAnsi="黑体" w:eastAsia="黑体" w:cs="黑体"/>
          <w:bCs/>
          <w:color w:val="auto"/>
          <w:szCs w:val="32"/>
        </w:rPr>
      </w:pPr>
    </w:p>
    <w:p>
      <w:pPr>
        <w:ind w:firstLine="640" w:firstLineChars="200"/>
        <w:jc w:val="right"/>
        <w:rPr>
          <w:rFonts w:hint="eastAsia" w:ascii="黑体" w:hAnsi="黑体" w:eastAsia="黑体" w:cs="黑体"/>
          <w:bCs/>
          <w:color w:val="auto"/>
          <w:szCs w:val="32"/>
        </w:rPr>
      </w:pPr>
    </w:p>
    <w:p>
      <w:pPr>
        <w:ind w:firstLine="640" w:firstLineChars="200"/>
        <w:jc w:val="right"/>
        <w:rPr>
          <w:rFonts w:hint="eastAsia" w:ascii="黑体" w:hAnsi="黑体" w:eastAsia="黑体" w:cs="黑体"/>
          <w:bCs/>
          <w:color w:val="auto"/>
          <w:szCs w:val="32"/>
        </w:rPr>
      </w:pPr>
    </w:p>
    <w:p>
      <w:pPr>
        <w:ind w:right="600" w:firstLine="3200" w:firstLineChars="1000"/>
        <w:jc w:val="righ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rPr>
        <w:t>呈贡区商务和投资促进局</w:t>
      </w:r>
    </w:p>
    <w:p>
      <w:pPr>
        <w:jc w:val="center"/>
        <w:rPr>
          <w:color w:val="auto"/>
        </w:rPr>
      </w:pPr>
      <w:r>
        <w:rPr>
          <w:rFonts w:hint="eastAsia" w:ascii="仿宋_GB2312" w:hAnsi="仿宋"/>
          <w:color w:val="auto"/>
          <w:szCs w:val="32"/>
          <w:lang w:val="en-US" w:eastAsia="zh-CN"/>
        </w:rPr>
        <w:t xml:space="preserve">                    </w:t>
      </w:r>
      <w:r>
        <w:rPr>
          <w:rFonts w:hint="eastAsia" w:ascii="仿宋_GB2312" w:hAnsi="仿宋"/>
          <w:color w:val="auto"/>
          <w:szCs w:val="32"/>
        </w:rPr>
        <w:t>20</w:t>
      </w:r>
      <w:r>
        <w:rPr>
          <w:rFonts w:hint="eastAsia" w:ascii="仿宋_GB2312" w:hAnsi="仿宋"/>
          <w:color w:val="auto"/>
          <w:szCs w:val="32"/>
          <w:lang w:val="en-US" w:eastAsia="zh-CN"/>
        </w:rPr>
        <w:t>22</w:t>
      </w:r>
      <w:r>
        <w:rPr>
          <w:rFonts w:hint="eastAsia" w:ascii="仿宋_GB2312" w:hAnsi="仿宋"/>
          <w:color w:val="auto"/>
          <w:szCs w:val="32"/>
        </w:rPr>
        <w:t>年</w:t>
      </w:r>
      <w:r>
        <w:rPr>
          <w:rFonts w:hint="eastAsia" w:ascii="仿宋_GB2312" w:hAnsi="仿宋"/>
          <w:color w:val="auto"/>
          <w:szCs w:val="32"/>
          <w:lang w:val="en-US" w:eastAsia="zh-CN"/>
        </w:rPr>
        <w:t>3</w:t>
      </w:r>
      <w:r>
        <w:rPr>
          <w:rFonts w:hint="eastAsia" w:ascii="仿宋_GB2312" w:hAnsi="仿宋"/>
          <w:color w:val="auto"/>
          <w:szCs w:val="32"/>
        </w:rPr>
        <w:t>月</w:t>
      </w:r>
      <w:r>
        <w:rPr>
          <w:rFonts w:hint="eastAsia" w:ascii="仿宋_GB2312" w:hAnsi="仿宋"/>
          <w:color w:val="auto"/>
          <w:szCs w:val="32"/>
          <w:lang w:val="en-US" w:eastAsia="zh-CN"/>
        </w:rPr>
        <w:t>25</w:t>
      </w:r>
      <w:r>
        <w:rPr>
          <w:rFonts w:hint="eastAsia" w:ascii="仿宋_GB2312" w:hAnsi="仿宋"/>
          <w:color w:val="auto"/>
          <w:szCs w:val="32"/>
        </w:rPr>
        <w:t xml:space="preserve">日   </w:t>
      </w:r>
    </w:p>
    <w:sectPr>
      <w:pgSz w:w="11906" w:h="16838"/>
      <w:pgMar w:top="1417"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9472A"/>
    <w:rsid w:val="008760BD"/>
    <w:rsid w:val="030210C5"/>
    <w:rsid w:val="152D11A8"/>
    <w:rsid w:val="175F1A01"/>
    <w:rsid w:val="1D744FCB"/>
    <w:rsid w:val="23B16D61"/>
    <w:rsid w:val="280B2A12"/>
    <w:rsid w:val="32364478"/>
    <w:rsid w:val="333A23FE"/>
    <w:rsid w:val="36280C33"/>
    <w:rsid w:val="3B4F19E2"/>
    <w:rsid w:val="48395767"/>
    <w:rsid w:val="4988792C"/>
    <w:rsid w:val="4BB2584C"/>
    <w:rsid w:val="4D1B0752"/>
    <w:rsid w:val="54943D9D"/>
    <w:rsid w:val="5B59472A"/>
    <w:rsid w:val="67580864"/>
    <w:rsid w:val="6C1C2042"/>
    <w:rsid w:val="741508C0"/>
    <w:rsid w:val="776F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2">
    <w:name w:val="heading 1"/>
    <w:basedOn w:val="1"/>
    <w:next w:val="1"/>
    <w:qFormat/>
    <w:uiPriority w:val="9"/>
    <w:pPr>
      <w:keepNext/>
      <w:keepLines/>
      <w:spacing w:line="520" w:lineRule="exact"/>
      <w:ind w:firstLine="880" w:firstLineChars="200"/>
      <w:outlineLvl w:val="0"/>
    </w:pPr>
    <w:rPr>
      <w:rFonts w:ascii="黑体" w:hAnsi="黑体" w:eastAsia="方正黑体简体" w:cs="黑体"/>
      <w:bCs/>
      <w:kern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2022-03-21T08:20:00Z</dcterms:created>
  <dc:creator>Administrator</dc:creator>
  <cp:lastModifiedBy>Administrator</cp:lastModifiedBy>
  <cp:lastPrinted>2022-03-25T06:06:00Z</cp:lastPrinted>
  <dcterms:modified xsi:type="dcterms:W3CDTF">2022-03-31T06:37:59Z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5E4E46CA7FDD43B497138403D4384F85</vt:lpwstr>
  </property>
</Properties>
</file>