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呈贡区民政局</w:t>
      </w:r>
    </w:p>
    <w:p>
      <w:pPr>
        <w:spacing w:line="0" w:lineRule="atLeast"/>
        <w:jc w:val="center"/>
        <w:rPr>
          <w:rFonts w:ascii="黑体" w:hAnsi="黑体" w:eastAsia="宋体"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20</w:t>
      </w:r>
      <w:r>
        <w:rPr>
          <w:rFonts w:hint="eastAsia" w:ascii="宋体" w:hAnsi="宋体" w:eastAsia="宋体"/>
          <w:b/>
          <w:bCs/>
          <w:sz w:val="44"/>
          <w:lang w:val="en-US" w:eastAsia="zh-CN"/>
        </w:rPr>
        <w:t>21</w:t>
      </w:r>
      <w:r>
        <w:rPr>
          <w:rFonts w:hint="eastAsia" w:ascii="宋体" w:hAnsi="宋体" w:eastAsia="宋体"/>
          <w:b/>
          <w:bCs/>
          <w:sz w:val="44"/>
        </w:rPr>
        <w:t>年</w:t>
      </w:r>
      <w:r>
        <w:rPr>
          <w:rFonts w:hint="eastAsia" w:ascii="宋体" w:hAnsi="宋体"/>
          <w:b/>
          <w:bCs/>
          <w:sz w:val="44"/>
        </w:rPr>
        <w:t>整体</w:t>
      </w:r>
      <w:r>
        <w:rPr>
          <w:rFonts w:hint="eastAsia" w:ascii="宋体" w:hAnsi="宋体" w:eastAsia="宋体"/>
          <w:b/>
          <w:bCs/>
          <w:sz w:val="44"/>
        </w:rPr>
        <w:t>支出绩效评价</w:t>
      </w:r>
      <w:r>
        <w:rPr>
          <w:rFonts w:hint="eastAsia" w:ascii="宋体" w:hAnsi="宋体"/>
          <w:b/>
          <w:bCs/>
          <w:sz w:val="44"/>
        </w:rPr>
        <w:t>报告</w:t>
      </w:r>
    </w:p>
    <w:p>
      <w:pPr>
        <w:spacing w:line="0" w:lineRule="atLeast"/>
        <w:rPr>
          <w:rFonts w:ascii="楷体_GB2312" w:hAnsi="楷体_GB2312" w:eastAsia="楷体_GB2312"/>
        </w:rPr>
      </w:pPr>
    </w:p>
    <w:p>
      <w:pPr>
        <w:spacing w:line="240" w:lineRule="atLeast"/>
        <w:ind w:firstLine="594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为</w:t>
      </w:r>
      <w:r>
        <w:rPr>
          <w:rFonts w:hint="eastAsia" w:ascii="仿宋_GB2312" w:hAnsi="仿宋_GB2312"/>
          <w:lang w:eastAsia="zh-CN"/>
        </w:rPr>
        <w:t>切</w:t>
      </w:r>
      <w:r>
        <w:rPr>
          <w:rFonts w:hint="eastAsia" w:ascii="仿宋_GB2312" w:hAnsi="仿宋_GB2312"/>
        </w:rPr>
        <w:t>实做好20</w:t>
      </w:r>
      <w:r>
        <w:rPr>
          <w:rFonts w:hint="eastAsia" w:ascii="仿宋_GB2312" w:hAnsi="仿宋_GB2312"/>
          <w:lang w:val="en-US" w:eastAsia="zh-CN"/>
        </w:rPr>
        <w:t>21</w:t>
      </w:r>
      <w:r>
        <w:rPr>
          <w:rFonts w:hint="eastAsia" w:ascii="仿宋_GB2312" w:hAnsi="仿宋_GB2312"/>
        </w:rPr>
        <w:t>年部门整体支出评价工作，提高资金的使用效益，根据《中华人民共和国预算法》规定，按照《</w:t>
      </w:r>
      <w:r>
        <w:rPr>
          <w:rFonts w:hint="eastAsia" w:ascii="仿宋_GB2312" w:hAnsi="仿宋_GB2312"/>
          <w:lang w:eastAsia="zh-CN"/>
        </w:rPr>
        <w:t>中共昆明市委、昆明市人民政府关于全面实施预算绩效管理的实施意见</w:t>
      </w:r>
      <w:r>
        <w:rPr>
          <w:rFonts w:hint="eastAsia" w:ascii="仿宋_GB2312" w:hAnsi="仿宋_GB2312"/>
        </w:rPr>
        <w:t>》（昆</w:t>
      </w:r>
      <w:r>
        <w:rPr>
          <w:rFonts w:hint="eastAsia" w:ascii="仿宋_GB2312" w:hAnsi="仿宋_GB2312"/>
          <w:lang w:eastAsia="zh-CN"/>
        </w:rPr>
        <w:t>发</w:t>
      </w:r>
      <w:r>
        <w:rPr>
          <w:rFonts w:hint="eastAsia" w:ascii="仿宋_GB2312" w:hAnsi="仿宋_GB2312" w:cs="仿宋_GB2312"/>
        </w:rPr>
        <w:t>〔</w:t>
      </w:r>
      <w:r>
        <w:rPr>
          <w:rFonts w:hint="eastAsia" w:ascii="仿宋_GB2312" w:hAnsi="仿宋_GB2312" w:cs="仿宋_GB2312"/>
          <w:lang w:val="en-US" w:eastAsia="zh-CN"/>
        </w:rPr>
        <w:t>2019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 w:hAnsi="仿宋_GB2312"/>
        </w:rPr>
        <w:t>12号）、</w:t>
      </w:r>
      <w:r>
        <w:rPr>
          <w:rFonts w:hint="eastAsia" w:ascii="仿宋_GB2312" w:hAnsi="仿宋_GB2312"/>
          <w:lang w:eastAsia="zh-CN"/>
        </w:rPr>
        <w:t>《呈贡区财政性资金部门预算评价操作规程》（呈财</w:t>
      </w:r>
      <w:r>
        <w:rPr>
          <w:rFonts w:hint="eastAsia" w:ascii="仿宋_GB2312" w:hAnsi="仿宋_GB2312" w:cs="仿宋_GB2312"/>
        </w:rPr>
        <w:t>〔</w:t>
      </w:r>
      <w:r>
        <w:rPr>
          <w:rFonts w:hint="eastAsia" w:ascii="仿宋_GB2312" w:hAnsi="仿宋_GB2312" w:cs="仿宋_GB2312"/>
          <w:lang w:val="en-US" w:eastAsia="zh-CN"/>
        </w:rPr>
        <w:t>2017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>115号）文件</w:t>
      </w:r>
      <w:r>
        <w:rPr>
          <w:rFonts w:hint="eastAsia" w:ascii="仿宋_GB2312" w:hAnsi="仿宋_GB2312"/>
        </w:rPr>
        <w:t>规定及</w:t>
      </w:r>
      <w:r>
        <w:rPr>
          <w:rFonts w:hint="eastAsia" w:ascii="仿宋_GB2312" w:hAnsi="仿宋_GB2312"/>
          <w:lang w:eastAsia="zh-CN"/>
        </w:rPr>
        <w:t>昆明市呈贡区《关于对</w:t>
      </w:r>
      <w:r>
        <w:rPr>
          <w:rFonts w:hint="eastAsia" w:ascii="仿宋_GB2312" w:hAnsi="仿宋_GB2312"/>
          <w:lang w:val="en-US" w:eastAsia="zh-CN"/>
        </w:rPr>
        <w:t>2021年度预算支出开展绩效自评工作的通知》要求</w:t>
      </w:r>
      <w:r>
        <w:rPr>
          <w:rFonts w:hint="eastAsia" w:ascii="仿宋_GB2312" w:hAnsi="仿宋_GB2312"/>
        </w:rPr>
        <w:t>，我局认真开展自评工作，自评分9</w:t>
      </w:r>
      <w:r>
        <w:rPr>
          <w:rFonts w:hint="eastAsia" w:ascii="仿宋_GB2312" w:hAnsi="仿宋_GB2312"/>
          <w:lang w:val="en-US" w:eastAsia="zh-CN"/>
        </w:rPr>
        <w:t>8</w:t>
      </w:r>
      <w:r>
        <w:rPr>
          <w:rFonts w:hint="eastAsia" w:ascii="仿宋_GB2312" w:hAnsi="仿宋_GB2312"/>
        </w:rPr>
        <w:t>分，现将单位整体支出绩效评价报告如下：</w:t>
      </w:r>
    </w:p>
    <w:p>
      <w:pPr>
        <w:topLinePunct/>
        <w:ind w:firstLine="594" w:firstLineChars="200"/>
        <w:rPr>
          <w:rFonts w:ascii="黑体" w:eastAsia="黑体"/>
          <w:b/>
          <w:bCs/>
          <w:szCs w:val="32"/>
        </w:rPr>
      </w:pPr>
      <w:r>
        <w:rPr>
          <w:rFonts w:hint="eastAsia" w:ascii="黑体" w:eastAsia="黑体"/>
          <w:b/>
          <w:bCs/>
          <w:szCs w:val="32"/>
        </w:rPr>
        <w:t>一、基本情况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（一）部门整体支出概况</w:t>
      </w:r>
    </w:p>
    <w:p>
      <w:pPr>
        <w:topLinePunct/>
        <w:ind w:firstLine="594" w:firstLineChars="200"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年年末结转结余</w:t>
      </w:r>
      <w:r>
        <w:rPr>
          <w:rFonts w:hint="eastAsia" w:ascii="仿宋_GB2312"/>
          <w:szCs w:val="32"/>
          <w:lang w:val="en-US" w:eastAsia="zh-CN"/>
        </w:rPr>
        <w:t>217.62万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年全年收入</w:t>
      </w:r>
      <w:r>
        <w:rPr>
          <w:rFonts w:hint="eastAsia" w:ascii="仿宋_GB2312"/>
          <w:szCs w:val="32"/>
          <w:lang w:val="en-US" w:eastAsia="zh-CN"/>
        </w:rPr>
        <w:t>4329.59万</w:t>
      </w:r>
      <w:r>
        <w:rPr>
          <w:rFonts w:hint="eastAsia" w:ascii="仿宋_GB2312"/>
          <w:szCs w:val="32"/>
        </w:rPr>
        <w:t>元，其中一般公共预算收入为</w:t>
      </w:r>
      <w:r>
        <w:rPr>
          <w:rFonts w:hint="eastAsia" w:ascii="仿宋_GB2312"/>
          <w:szCs w:val="32"/>
          <w:lang w:val="en-US" w:eastAsia="zh-CN"/>
        </w:rPr>
        <w:t>4088.83</w:t>
      </w:r>
      <w:r>
        <w:rPr>
          <w:rFonts w:hint="eastAsia" w:ascii="仿宋_GB2312"/>
          <w:szCs w:val="32"/>
          <w:lang w:eastAsia="zh-CN"/>
        </w:rPr>
        <w:t>万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eastAsia="zh-CN"/>
        </w:rPr>
        <w:t>占总收入的</w:t>
      </w:r>
      <w:r>
        <w:rPr>
          <w:rFonts w:hint="eastAsia" w:ascii="仿宋_GB2312"/>
          <w:szCs w:val="32"/>
          <w:lang w:val="en-US" w:eastAsia="zh-CN"/>
        </w:rPr>
        <w:t>94%；</w:t>
      </w:r>
      <w:r>
        <w:rPr>
          <w:rFonts w:hint="eastAsia" w:ascii="仿宋_GB2312"/>
          <w:szCs w:val="32"/>
        </w:rPr>
        <w:t>政府性基金收入为</w:t>
      </w:r>
      <w:r>
        <w:rPr>
          <w:rFonts w:hint="eastAsia" w:ascii="仿宋_GB2312"/>
          <w:szCs w:val="32"/>
          <w:lang w:val="en-US" w:eastAsia="zh-CN"/>
        </w:rPr>
        <w:t>240.76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占总收入的</w:t>
      </w:r>
      <w:r>
        <w:rPr>
          <w:rFonts w:hint="eastAsia" w:ascii="仿宋_GB2312"/>
          <w:szCs w:val="32"/>
          <w:lang w:val="en-US" w:eastAsia="zh-CN"/>
        </w:rPr>
        <w:t>6%</w:t>
      </w:r>
      <w:r>
        <w:rPr>
          <w:rFonts w:hint="eastAsia" w:ascii="仿宋_GB2312"/>
          <w:szCs w:val="32"/>
        </w:rPr>
        <w:t>。2</w:t>
      </w:r>
      <w:r>
        <w:rPr>
          <w:rFonts w:hint="eastAsia" w:ascii="仿宋_GB2312"/>
          <w:szCs w:val="32"/>
          <w:lang w:val="en-US" w:eastAsia="zh-CN"/>
        </w:rPr>
        <w:t>021</w:t>
      </w:r>
      <w:r>
        <w:rPr>
          <w:rFonts w:hint="eastAsia" w:ascii="仿宋_GB2312"/>
          <w:szCs w:val="32"/>
        </w:rPr>
        <w:t>年全年支出</w:t>
      </w:r>
      <w:r>
        <w:rPr>
          <w:rFonts w:hint="eastAsia" w:ascii="仿宋_GB2312"/>
          <w:szCs w:val="32"/>
          <w:lang w:val="en-US" w:eastAsia="zh-CN"/>
        </w:rPr>
        <w:t>3807.09万</w:t>
      </w:r>
      <w:r>
        <w:rPr>
          <w:rFonts w:hint="eastAsia" w:ascii="仿宋_GB2312"/>
          <w:szCs w:val="32"/>
        </w:rPr>
        <w:t>元，主要包</w:t>
      </w:r>
      <w:r>
        <w:rPr>
          <w:rFonts w:hint="eastAsia" w:ascii="仿宋_GB2312"/>
          <w:szCs w:val="32"/>
          <w:lang w:eastAsia="zh-CN"/>
        </w:rPr>
        <w:t>括</w:t>
      </w:r>
      <w:r>
        <w:rPr>
          <w:rFonts w:hint="eastAsia" w:ascii="仿宋_GB2312"/>
          <w:szCs w:val="32"/>
        </w:rPr>
        <w:t>教育支出</w:t>
      </w:r>
      <w:r>
        <w:rPr>
          <w:rFonts w:hint="eastAsia" w:ascii="仿宋_GB2312"/>
          <w:szCs w:val="32"/>
          <w:lang w:val="en-US" w:eastAsia="zh-CN"/>
        </w:rPr>
        <w:t>0.15万</w:t>
      </w:r>
      <w:r>
        <w:rPr>
          <w:rFonts w:hint="eastAsia" w:ascii="仿宋_GB2312"/>
          <w:szCs w:val="32"/>
        </w:rPr>
        <w:t>元，社会保障和就业支出</w:t>
      </w:r>
      <w:r>
        <w:rPr>
          <w:rFonts w:hint="eastAsia" w:ascii="仿宋_GB2312"/>
          <w:szCs w:val="32"/>
          <w:lang w:val="en-US" w:eastAsia="zh-CN"/>
        </w:rPr>
        <w:t>3510.87万</w:t>
      </w:r>
      <w:r>
        <w:rPr>
          <w:rFonts w:hint="eastAsia" w:ascii="仿宋_GB2312"/>
          <w:szCs w:val="32"/>
        </w:rPr>
        <w:t>元，住房保障支出</w:t>
      </w:r>
      <w:r>
        <w:rPr>
          <w:rFonts w:hint="eastAsia" w:ascii="仿宋_GB2312"/>
          <w:szCs w:val="32"/>
          <w:lang w:val="en-US" w:eastAsia="zh-CN"/>
        </w:rPr>
        <w:t>20.43万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eastAsia="zh-CN"/>
        </w:rPr>
        <w:t>卫生健康支出</w:t>
      </w:r>
      <w:r>
        <w:rPr>
          <w:rFonts w:hint="eastAsia" w:ascii="仿宋_GB2312"/>
          <w:szCs w:val="32"/>
          <w:lang w:val="en-US" w:eastAsia="zh-CN"/>
        </w:rPr>
        <w:t>11.33万元，</w:t>
      </w:r>
      <w:r>
        <w:rPr>
          <w:rFonts w:hint="eastAsia" w:ascii="仿宋_GB2312"/>
          <w:szCs w:val="32"/>
        </w:rPr>
        <w:t>其他彩票公益金支出</w:t>
      </w:r>
      <w:r>
        <w:rPr>
          <w:rFonts w:hint="eastAsia" w:ascii="仿宋_GB2312"/>
          <w:szCs w:val="32"/>
          <w:lang w:val="en-US" w:eastAsia="zh-CN"/>
        </w:rPr>
        <w:t>264.31万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val="en-US" w:eastAsia="zh-CN"/>
        </w:rPr>
        <w:t>。保障机关正常运转的行政支出340.79万元，占总支出的8%；项目支出3466.30元，占总支出的92%。</w:t>
      </w: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年年末结转结余</w:t>
      </w:r>
      <w:r>
        <w:rPr>
          <w:rFonts w:hint="eastAsia" w:ascii="仿宋_GB2312"/>
          <w:szCs w:val="32"/>
          <w:lang w:val="en-US" w:eastAsia="zh-CN"/>
        </w:rPr>
        <w:t>143.45</w:t>
      </w:r>
      <w:r>
        <w:rPr>
          <w:rFonts w:hint="eastAsia" w:ascii="仿宋_GB2312"/>
          <w:szCs w:val="32"/>
        </w:rPr>
        <w:t>元，其中一般公共预算财政拨款结转结余</w:t>
      </w:r>
      <w:r>
        <w:rPr>
          <w:rFonts w:hint="eastAsia" w:ascii="仿宋_GB2312"/>
          <w:szCs w:val="32"/>
          <w:lang w:val="en-US" w:eastAsia="zh-CN"/>
        </w:rPr>
        <w:t>65.98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eastAsia="zh-CN"/>
        </w:rPr>
        <w:t>占总</w:t>
      </w:r>
      <w:r>
        <w:rPr>
          <w:rFonts w:hint="eastAsia" w:ascii="仿宋_GB2312"/>
          <w:szCs w:val="32"/>
        </w:rPr>
        <w:t>年末结转结余</w:t>
      </w:r>
      <w:r>
        <w:rPr>
          <w:rFonts w:hint="eastAsia" w:ascii="仿宋_GB2312"/>
          <w:szCs w:val="32"/>
          <w:lang w:val="en-US" w:eastAsia="zh-CN"/>
        </w:rPr>
        <w:t>45% ,</w:t>
      </w:r>
      <w:r>
        <w:rPr>
          <w:rFonts w:hint="eastAsia" w:ascii="仿宋_GB2312"/>
          <w:szCs w:val="32"/>
        </w:rPr>
        <w:t>政府性基金预算财政拨款结转结余</w:t>
      </w:r>
      <w:r>
        <w:rPr>
          <w:rFonts w:hint="eastAsia" w:ascii="仿宋_GB2312"/>
          <w:szCs w:val="32"/>
          <w:lang w:val="en-US" w:eastAsia="zh-CN"/>
        </w:rPr>
        <w:t>77.47万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  <w:lang w:eastAsia="zh-CN"/>
        </w:rPr>
        <w:t>占总</w:t>
      </w:r>
      <w:r>
        <w:rPr>
          <w:rFonts w:hint="eastAsia" w:ascii="仿宋_GB2312"/>
          <w:szCs w:val="32"/>
        </w:rPr>
        <w:t>年末结转结余</w:t>
      </w:r>
      <w:r>
        <w:rPr>
          <w:rFonts w:hint="eastAsia" w:ascii="仿宋_GB2312"/>
          <w:szCs w:val="32"/>
          <w:lang w:val="en-US" w:eastAsia="zh-CN"/>
        </w:rPr>
        <w:t>55%</w:t>
      </w:r>
      <w:r>
        <w:rPr>
          <w:rFonts w:hint="eastAsia" w:ascii="仿宋_GB2312"/>
          <w:szCs w:val="32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项目支出自评情况</w:t>
      </w:r>
    </w:p>
    <w:p>
      <w:pPr>
        <w:numPr>
          <w:ilvl w:val="0"/>
          <w:numId w:val="0"/>
        </w:numPr>
        <w:topLinePunct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2021年共有28个项目，涉及资金支出3466.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30万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/>
          <w:szCs w:val="32"/>
          <w:lang w:eastAsia="zh-CN"/>
        </w:rPr>
        <w:t>，其中上</w:t>
      </w:r>
      <w:r>
        <w:rPr>
          <w:rFonts w:hint="eastAsia" w:ascii="仿宋_GB2312"/>
          <w:szCs w:val="32"/>
          <w:lang w:val="en-US" w:eastAsia="zh-CN"/>
        </w:rPr>
        <w:t>200万元及以上的项目6个，资金支出是2143.67万元。自评情况分别是：20个92分-99分；8个100分。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部门整体支出绩效目标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1.预决算公开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严格按照呈贡区财政局的相关文件要求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Cs w:val="32"/>
        </w:rPr>
        <w:t>对20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年预算及20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年决算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2020年绩效自评</w:t>
      </w:r>
      <w:r>
        <w:rPr>
          <w:rFonts w:hint="eastAsia" w:ascii="仿宋_GB2312"/>
          <w:szCs w:val="32"/>
        </w:rPr>
        <w:t>分别在中国呈贡政务网及云南省财政厅网站进行公开与公示，重大项目绩效目标跟踪进行公示。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2.存量资金管理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按照呈贡区财政局的要求，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快存量消化进度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年末存量资金</w:t>
      </w:r>
      <w:r>
        <w:rPr>
          <w:rFonts w:hint="eastAsia" w:ascii="仿宋_GB2312"/>
          <w:szCs w:val="32"/>
          <w:lang w:val="en-US" w:eastAsia="zh-CN"/>
        </w:rPr>
        <w:t>81.79</w:t>
      </w:r>
      <w:r>
        <w:rPr>
          <w:rFonts w:hint="eastAsia" w:ascii="仿宋_GB2312"/>
          <w:szCs w:val="32"/>
          <w:lang w:eastAsia="zh-CN"/>
        </w:rPr>
        <w:t>万</w:t>
      </w:r>
      <w:r>
        <w:rPr>
          <w:rFonts w:hint="eastAsia" w:ascii="仿宋_GB2312"/>
          <w:szCs w:val="32"/>
        </w:rPr>
        <w:t>元，20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年年末存量资金为</w:t>
      </w:r>
      <w:r>
        <w:rPr>
          <w:rFonts w:hint="eastAsia" w:ascii="仿宋_GB2312"/>
          <w:szCs w:val="32"/>
          <w:lang w:val="en-US" w:eastAsia="zh-CN"/>
        </w:rPr>
        <w:t xml:space="preserve"> 29.16</w:t>
      </w:r>
      <w:r>
        <w:rPr>
          <w:rFonts w:hint="eastAsia" w:ascii="仿宋_GB2312"/>
          <w:szCs w:val="32"/>
        </w:rPr>
        <w:t>元，主要</w:t>
      </w:r>
      <w:r>
        <w:rPr>
          <w:rFonts w:hint="eastAsia" w:ascii="仿宋_GB2312"/>
          <w:szCs w:val="32"/>
          <w:lang w:eastAsia="zh-CN"/>
        </w:rPr>
        <w:t>是</w:t>
      </w:r>
      <w:r>
        <w:rPr>
          <w:rFonts w:hint="eastAsia" w:ascii="仿宋_GB2312"/>
          <w:szCs w:val="32"/>
        </w:rPr>
        <w:t>上级转移支付城市低保资金</w:t>
      </w:r>
      <w:r>
        <w:rPr>
          <w:rFonts w:hint="eastAsia" w:ascii="仿宋_GB2312"/>
          <w:szCs w:val="32"/>
          <w:lang w:eastAsia="zh-CN"/>
        </w:rPr>
        <w:t>、特困供养资金、临时救助资金，这些资金都统一在规定的专户上，安全管理，专款专用。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3.资产管理</w:t>
      </w:r>
    </w:p>
    <w:p>
      <w:pPr>
        <w:topLinePunct/>
        <w:ind w:firstLine="594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年年初资产总额为：</w:t>
      </w:r>
      <w:r>
        <w:rPr>
          <w:rFonts w:hint="eastAsia" w:ascii="仿宋_GB2312"/>
          <w:szCs w:val="32"/>
          <w:lang w:val="en-US" w:eastAsia="zh-CN"/>
        </w:rPr>
        <w:t>206.13万</w:t>
      </w:r>
      <w:r>
        <w:rPr>
          <w:rFonts w:hint="eastAsia" w:ascii="仿宋_GB2312"/>
          <w:szCs w:val="32"/>
        </w:rPr>
        <w:t>元，20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年年末资产总额为：</w:t>
      </w:r>
      <w:r>
        <w:rPr>
          <w:rFonts w:hint="eastAsia" w:ascii="仿宋_GB2312"/>
          <w:szCs w:val="32"/>
          <w:lang w:val="en-US" w:eastAsia="zh-CN"/>
        </w:rPr>
        <w:t>131.01万</w:t>
      </w:r>
      <w:r>
        <w:rPr>
          <w:rFonts w:hint="eastAsia" w:ascii="仿宋_GB2312"/>
          <w:szCs w:val="32"/>
        </w:rPr>
        <w:t>元，其中货币资金</w:t>
      </w:r>
      <w:r>
        <w:rPr>
          <w:rFonts w:hint="eastAsia" w:ascii="仿宋_GB2312"/>
          <w:szCs w:val="32"/>
          <w:lang w:val="en-US" w:eastAsia="zh-CN"/>
        </w:rPr>
        <w:t>44.91万</w:t>
      </w:r>
      <w:r>
        <w:rPr>
          <w:rFonts w:hint="eastAsia" w:ascii="仿宋_GB2312"/>
          <w:szCs w:val="32"/>
        </w:rPr>
        <w:t>元，固定资产净值：</w:t>
      </w:r>
      <w:r>
        <w:rPr>
          <w:rFonts w:hint="eastAsia" w:ascii="仿宋_GB2312"/>
          <w:szCs w:val="32"/>
          <w:lang w:val="en-US" w:eastAsia="zh-CN"/>
        </w:rPr>
        <w:t>81.35</w:t>
      </w:r>
      <w:r>
        <w:rPr>
          <w:rFonts w:hint="eastAsia" w:ascii="仿宋_GB2312"/>
          <w:szCs w:val="32"/>
        </w:rPr>
        <w:t>万元，其他应收款净额</w:t>
      </w:r>
      <w:r>
        <w:rPr>
          <w:rFonts w:hint="eastAsia" w:ascii="仿宋_GB2312"/>
          <w:szCs w:val="32"/>
          <w:lang w:val="en-US" w:eastAsia="zh-CN"/>
        </w:rPr>
        <w:t>0.66万</w:t>
      </w:r>
      <w:r>
        <w:rPr>
          <w:rFonts w:hint="eastAsia" w:ascii="仿宋_GB2312"/>
          <w:szCs w:val="32"/>
        </w:rPr>
        <w:t>元，无形资产净值为：</w:t>
      </w:r>
      <w:r>
        <w:rPr>
          <w:rFonts w:hint="eastAsia" w:ascii="仿宋_GB2312"/>
          <w:szCs w:val="32"/>
          <w:lang w:val="en-US" w:eastAsia="zh-CN"/>
        </w:rPr>
        <w:t>4.08万</w:t>
      </w:r>
      <w:r>
        <w:rPr>
          <w:rFonts w:hint="eastAsia" w:ascii="仿宋_GB2312"/>
          <w:szCs w:val="32"/>
        </w:rPr>
        <w:t>元。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购买固定资产、领用、收回、核销、报废等手续均由办公室负责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；财务人员负责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建账、核算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账物分管，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账实相符、账账相符。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4.三公经费控制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年三公经费控制</w:t>
      </w:r>
      <w:r>
        <w:rPr>
          <w:rFonts w:hint="eastAsia" w:ascii="仿宋_GB2312"/>
          <w:szCs w:val="32"/>
          <w:lang w:eastAsia="zh-CN"/>
        </w:rPr>
        <w:t>非常</w:t>
      </w:r>
      <w:r>
        <w:rPr>
          <w:rFonts w:hint="eastAsia" w:ascii="仿宋_GB2312"/>
          <w:szCs w:val="32"/>
        </w:rPr>
        <w:t>好，年初预算</w:t>
      </w:r>
      <w:r>
        <w:rPr>
          <w:rFonts w:hint="eastAsia" w:ascii="仿宋_GB2312"/>
          <w:szCs w:val="32"/>
          <w:lang w:val="en-US" w:eastAsia="zh-CN"/>
        </w:rPr>
        <w:t>6.08万</w:t>
      </w:r>
      <w:r>
        <w:rPr>
          <w:rFonts w:hint="eastAsia" w:ascii="仿宋_GB2312"/>
          <w:szCs w:val="32"/>
        </w:rPr>
        <w:t>元，实际执行：</w:t>
      </w:r>
      <w:r>
        <w:rPr>
          <w:rFonts w:hint="eastAsia" w:ascii="仿宋_GB2312"/>
          <w:szCs w:val="32"/>
          <w:lang w:val="en-US" w:eastAsia="zh-CN"/>
        </w:rPr>
        <w:t>2.49</w:t>
      </w:r>
      <w:r>
        <w:rPr>
          <w:rFonts w:hint="eastAsia" w:ascii="仿宋_GB2312"/>
          <w:szCs w:val="32"/>
          <w:lang w:eastAsia="zh-CN"/>
        </w:rPr>
        <w:t>万</w:t>
      </w:r>
      <w:r>
        <w:rPr>
          <w:rFonts w:hint="eastAsia" w:ascii="仿宋_GB2312"/>
          <w:szCs w:val="32"/>
        </w:rPr>
        <w:t>元，其中公务用车维护费</w:t>
      </w:r>
      <w:r>
        <w:rPr>
          <w:rFonts w:hint="eastAsia" w:ascii="仿宋_GB2312"/>
          <w:szCs w:val="32"/>
          <w:lang w:eastAsia="zh-CN"/>
        </w:rPr>
        <w:t>预算</w:t>
      </w:r>
      <w:r>
        <w:rPr>
          <w:rFonts w:hint="eastAsia" w:ascii="仿宋_GB2312"/>
          <w:szCs w:val="32"/>
          <w:lang w:val="en-US" w:eastAsia="zh-CN"/>
        </w:rPr>
        <w:t>5.08万</w:t>
      </w:r>
      <w:r>
        <w:rPr>
          <w:rFonts w:hint="eastAsia" w:ascii="仿宋_GB2312"/>
          <w:szCs w:val="32"/>
        </w:rPr>
        <w:t>元，实际执行</w:t>
      </w:r>
      <w:r>
        <w:rPr>
          <w:rFonts w:hint="eastAsia" w:ascii="仿宋_GB2312"/>
          <w:szCs w:val="32"/>
          <w:lang w:val="en-US" w:eastAsia="zh-CN"/>
        </w:rPr>
        <w:t>2.37万</w:t>
      </w:r>
      <w:r>
        <w:rPr>
          <w:rFonts w:hint="eastAsia" w:ascii="仿宋_GB2312"/>
          <w:szCs w:val="32"/>
        </w:rPr>
        <w:t>元，节约率</w:t>
      </w:r>
      <w:r>
        <w:rPr>
          <w:rFonts w:hint="eastAsia" w:ascii="仿宋_GB2312"/>
          <w:szCs w:val="32"/>
          <w:lang w:val="en-US" w:eastAsia="zh-CN"/>
        </w:rPr>
        <w:t>53</w:t>
      </w:r>
      <w:r>
        <w:rPr>
          <w:rFonts w:hint="eastAsia" w:ascii="仿宋_GB2312"/>
          <w:szCs w:val="32"/>
        </w:rPr>
        <w:t>%，因加强车辆严格管控效果明显；公务接待预算</w:t>
      </w:r>
      <w:r>
        <w:rPr>
          <w:rFonts w:hint="eastAsia" w:ascii="仿宋_GB2312"/>
          <w:szCs w:val="32"/>
          <w:lang w:val="en-US" w:eastAsia="zh-CN"/>
        </w:rPr>
        <w:t>1万</w:t>
      </w:r>
      <w:r>
        <w:rPr>
          <w:rFonts w:hint="eastAsia" w:ascii="仿宋_GB2312"/>
          <w:szCs w:val="32"/>
        </w:rPr>
        <w:t>元，实际执行</w:t>
      </w:r>
      <w:r>
        <w:rPr>
          <w:rFonts w:hint="eastAsia" w:ascii="仿宋_GB2312"/>
          <w:szCs w:val="32"/>
          <w:lang w:val="en-US" w:eastAsia="zh-CN"/>
        </w:rPr>
        <w:t>0.12万</w:t>
      </w:r>
      <w:r>
        <w:rPr>
          <w:rFonts w:hint="eastAsia" w:ascii="仿宋_GB2312"/>
          <w:szCs w:val="32"/>
        </w:rPr>
        <w:t>元，节约率为</w:t>
      </w:r>
      <w:r>
        <w:rPr>
          <w:rFonts w:hint="eastAsia" w:ascii="仿宋_GB2312"/>
          <w:szCs w:val="32"/>
          <w:lang w:val="en-US" w:eastAsia="zh-CN"/>
        </w:rPr>
        <w:t>88</w:t>
      </w:r>
      <w:r>
        <w:rPr>
          <w:rFonts w:hint="eastAsia" w:ascii="仿宋_GB2312"/>
          <w:szCs w:val="32"/>
        </w:rPr>
        <w:t>%</w:t>
      </w:r>
      <w:r>
        <w:rPr>
          <w:rFonts w:hint="eastAsia" w:ascii="仿宋_GB2312"/>
          <w:szCs w:val="32"/>
          <w:lang w:val="en-US" w:eastAsia="zh-CN"/>
        </w:rPr>
        <w:t>,</w:t>
      </w:r>
      <w:r>
        <w:rPr>
          <w:rFonts w:hint="eastAsia" w:ascii="仿宋_GB2312"/>
          <w:szCs w:val="32"/>
        </w:rPr>
        <w:t>公务接待费管理效果突出。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5.内部管理制度建设</w:t>
      </w:r>
    </w:p>
    <w:p>
      <w:pPr>
        <w:spacing w:line="600" w:lineRule="exact"/>
        <w:ind w:firstLine="582" w:firstLineChars="196"/>
        <w:rPr>
          <w:rFonts w:ascii="仿宋_GB2312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以来，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深入开展内部控制规范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化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工作，提高内部管理水平，根据《呈贡区行政事业单位内部控制规范实施工作方案》的要求，结合工作实际，内部控制规范领导小组，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负责内部控制规范有关日常工作，并通过制定制度、实施措施和执行程序，对经济活动的风险进行防范和管控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Cs w:val="32"/>
        </w:rPr>
        <w:t>根据人员、职能等变化修改相应明细制度，推动了内控制度信息系统的管理使用。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6.整体绩效目标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年整体绩效目标完成良好，数量指标、质量指标、社会效益指标等根据年初制定目标严格执行，在细小目标上有少量变化，整体目标未发生偏移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2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部门整体支出或项目实施情况分析，主要包括资金到位、资金使用、资金管理、项目组织和项目管理情况分析等。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年预算资金全部到位，同时上级转移支付资金同步到位，资金使用</w:t>
      </w:r>
      <w:r>
        <w:rPr>
          <w:rFonts w:hint="eastAsia" w:ascii="仿宋_GB2312"/>
          <w:szCs w:val="32"/>
          <w:lang w:eastAsia="zh-CN"/>
        </w:rPr>
        <w:t>先在财政一体化平台</w:t>
      </w:r>
      <w:r>
        <w:rPr>
          <w:rFonts w:hint="eastAsia" w:ascii="仿宋_GB2312"/>
          <w:szCs w:val="32"/>
        </w:rPr>
        <w:t>申请</w:t>
      </w:r>
      <w:r>
        <w:rPr>
          <w:rFonts w:hint="eastAsia" w:ascii="仿宋_GB2312"/>
          <w:szCs w:val="32"/>
          <w:lang w:eastAsia="zh-CN"/>
        </w:rPr>
        <w:t>，资金支出时在内控信息系统中按流程报销，</w:t>
      </w:r>
      <w:r>
        <w:rPr>
          <w:rFonts w:hint="eastAsia" w:ascii="仿宋_GB2312"/>
          <w:szCs w:val="32"/>
        </w:rPr>
        <w:t>重大项目通过“</w:t>
      </w:r>
      <w:r>
        <w:rPr>
          <w:rFonts w:hint="eastAsia" w:ascii="仿宋_GB2312"/>
          <w:szCs w:val="32"/>
          <w:lang w:eastAsia="zh-CN"/>
        </w:rPr>
        <w:t>局党组会</w:t>
      </w:r>
      <w:r>
        <w:rPr>
          <w:rFonts w:hint="eastAsia" w:ascii="仿宋_GB2312"/>
          <w:szCs w:val="32"/>
        </w:rPr>
        <w:t>”后进行安排，</w:t>
      </w:r>
      <w:r>
        <w:rPr>
          <w:rFonts w:hint="eastAsia" w:ascii="仿宋_GB2312"/>
          <w:szCs w:val="32"/>
          <w:lang w:eastAsia="zh-CN"/>
        </w:rPr>
        <w:t>按</w:t>
      </w:r>
      <w:r>
        <w:rPr>
          <w:rFonts w:hint="eastAsia" w:ascii="仿宋_GB2312"/>
          <w:szCs w:val="32"/>
        </w:rPr>
        <w:t>政府</w:t>
      </w:r>
      <w:r>
        <w:rPr>
          <w:rFonts w:hint="eastAsia" w:ascii="仿宋_GB2312"/>
          <w:szCs w:val="32"/>
          <w:lang w:eastAsia="zh-CN"/>
        </w:rPr>
        <w:t>规定</w:t>
      </w:r>
      <w:r>
        <w:rPr>
          <w:rFonts w:hint="eastAsia" w:ascii="仿宋_GB2312"/>
          <w:szCs w:val="32"/>
        </w:rPr>
        <w:t>与财政最新制度开展实施，资金取之于民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用之于民，资金效益实现最大化。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b/>
          <w:bCs/>
          <w:szCs w:val="32"/>
        </w:rPr>
        <w:t>二、绩效评价工作情况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（一）绩效评价目的。</w:t>
      </w:r>
    </w:p>
    <w:p>
      <w:pPr>
        <w:spacing w:line="240" w:lineRule="atLeast"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通过</w:t>
      </w:r>
      <w:r>
        <w:rPr>
          <w:rFonts w:hint="eastAsia" w:ascii="仿宋_GB2312" w:hAnsi="仿宋_GB2312" w:cs="仿宋_GB2312"/>
          <w:szCs w:val="32"/>
          <w:lang w:eastAsia="zh-CN"/>
        </w:rPr>
        <w:t>开展</w:t>
      </w:r>
      <w:r>
        <w:rPr>
          <w:rFonts w:hint="eastAsia" w:ascii="仿宋_GB2312" w:hAnsi="仿宋_GB2312" w:cs="仿宋_GB2312"/>
          <w:szCs w:val="32"/>
        </w:rPr>
        <w:t>绩效评价，</w:t>
      </w:r>
      <w:r>
        <w:rPr>
          <w:rFonts w:hint="eastAsia" w:ascii="仿宋_GB2312" w:hAnsi="仿宋_GB2312" w:cs="仿宋_GB2312"/>
          <w:szCs w:val="32"/>
          <w:lang w:eastAsia="zh-CN"/>
        </w:rPr>
        <w:t>自觉把绩效评价规定作为从事管理工作的行为准则；促进了对资金预算、资金支出管理的科学性，效益性；</w:t>
      </w:r>
      <w:r>
        <w:rPr>
          <w:rFonts w:hint="eastAsia" w:ascii="仿宋_GB2312" w:hAnsi="仿宋_GB2312" w:cs="仿宋_GB2312"/>
          <w:szCs w:val="32"/>
        </w:rPr>
        <w:t>总结经验、找准问题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提升</w:t>
      </w:r>
      <w:r>
        <w:rPr>
          <w:rFonts w:hint="eastAsia" w:ascii="仿宋_GB2312" w:hAnsi="仿宋_GB2312" w:cs="仿宋_GB2312"/>
          <w:szCs w:val="32"/>
          <w:lang w:eastAsia="zh-CN"/>
        </w:rPr>
        <w:t>了</w:t>
      </w:r>
      <w:r>
        <w:rPr>
          <w:rFonts w:hint="eastAsia" w:ascii="仿宋_GB2312" w:hAnsi="仿宋_GB2312" w:cs="仿宋_GB2312"/>
          <w:szCs w:val="32"/>
        </w:rPr>
        <w:t>绩效管理</w:t>
      </w:r>
      <w:r>
        <w:rPr>
          <w:rFonts w:hint="eastAsia" w:ascii="仿宋_GB2312" w:hAnsi="仿宋_GB2312" w:cs="仿宋_GB2312"/>
          <w:szCs w:val="32"/>
          <w:lang w:eastAsia="zh-CN"/>
        </w:rPr>
        <w:t>水平和</w:t>
      </w:r>
      <w:r>
        <w:rPr>
          <w:rFonts w:hint="eastAsia" w:ascii="仿宋_GB2312" w:hAnsi="仿宋_GB2312" w:cs="仿宋_GB2312"/>
          <w:szCs w:val="32"/>
        </w:rPr>
        <w:t>能力；</w:t>
      </w:r>
      <w:r>
        <w:rPr>
          <w:rFonts w:hint="eastAsia" w:ascii="仿宋_GB2312" w:hAnsi="仿宋_GB2312" w:cs="仿宋_GB2312"/>
          <w:szCs w:val="32"/>
          <w:lang w:eastAsia="zh-CN"/>
        </w:rPr>
        <w:t>修改完善健全内部控制制度，把绩效管理理念贯穿于财政预算执行的各环节，</w:t>
      </w:r>
      <w:r>
        <w:rPr>
          <w:rFonts w:hint="eastAsia" w:ascii="仿宋_GB2312" w:hAnsi="仿宋_GB2312" w:cs="仿宋_GB2312"/>
          <w:szCs w:val="32"/>
        </w:rPr>
        <w:t>为更好的履行民政职能、依法行政提供决策依据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（二）绩效评价工作过程。</w:t>
      </w:r>
    </w:p>
    <w:p>
      <w:pPr>
        <w:pStyle w:val="3"/>
        <w:spacing w:line="555" w:lineRule="atLeast"/>
        <w:ind w:firstLine="645"/>
        <w:rPr>
          <w:rFonts w:ascii="仿宋_GB2312" w:hAnsi="仿宋_GB2312" w:eastAsia="仿宋_GB2312" w:cs="仿宋_GB2312"/>
          <w:sz w:val="21"/>
          <w:szCs w:val="21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1.前期准备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按照绩效自评工作要求，组成以局长为组长的绩效评价工作小组，对相关的国家法律法规进行了认真学习，掌握政策，根据部门整体收支情况制定了部门整体支出绩效评价实施方案。</w:t>
      </w:r>
    </w:p>
    <w:p>
      <w:pPr>
        <w:pStyle w:val="3"/>
        <w:spacing w:line="555" w:lineRule="atLeast"/>
        <w:ind w:firstLine="645"/>
        <w:rPr>
          <w:rFonts w:ascii="仿宋_GB2312" w:hAnsi="仿宋_GB2312" w:eastAsia="仿宋_GB2312" w:cs="仿宋_GB2312"/>
          <w:sz w:val="21"/>
          <w:szCs w:val="21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2.组织实施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采用核查法核查20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年同级财政预算批复执行及部门整体支出情况，着重核查了“三公经费”及资产管理、内部控制制度情况，对内设机构，根据部门职能和年初制定的绩效考核目标，进行了实地绩效考评。</w:t>
      </w:r>
    </w:p>
    <w:p>
      <w:pPr>
        <w:pStyle w:val="3"/>
        <w:spacing w:line="555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3.分析评价：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对评价过程中收集资料进行归纳，汇总分析，依据设定的部门整体支出绩效评价指标体系进行了评分，形成综合性书面报告。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三、主要绩效及评价结论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经济性分析，主要包括成本（预算）控制情况和成本（预算）节约情况。</w:t>
      </w:r>
    </w:p>
    <w:p>
      <w:pPr>
        <w:topLinePunct/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年年初预算批复</w:t>
      </w:r>
      <w:r>
        <w:rPr>
          <w:rFonts w:hint="eastAsia" w:ascii="仿宋_GB2312"/>
          <w:szCs w:val="32"/>
          <w:lang w:val="en-US" w:eastAsia="zh-CN"/>
        </w:rPr>
        <w:t>2674.70万</w:t>
      </w:r>
      <w:r>
        <w:rPr>
          <w:rFonts w:hint="eastAsia" w:ascii="仿宋_GB2312"/>
          <w:szCs w:val="32"/>
        </w:rPr>
        <w:t>元，年终决算</w:t>
      </w:r>
      <w:r>
        <w:rPr>
          <w:rFonts w:hint="eastAsia" w:ascii="仿宋_GB2312"/>
          <w:szCs w:val="32"/>
          <w:lang w:val="en-US" w:eastAsia="zh-CN"/>
        </w:rPr>
        <w:t>3807.09万</w:t>
      </w:r>
      <w:r>
        <w:rPr>
          <w:rFonts w:hint="eastAsia" w:ascii="仿宋_GB2312"/>
          <w:szCs w:val="32"/>
        </w:rPr>
        <w:t>元，差异原因主要</w:t>
      </w:r>
      <w:r>
        <w:rPr>
          <w:rFonts w:hint="eastAsia" w:ascii="仿宋_GB2312"/>
          <w:szCs w:val="32"/>
          <w:lang w:eastAsia="zh-CN"/>
        </w:rPr>
        <w:t>是上级拨款；</w:t>
      </w:r>
      <w:r>
        <w:rPr>
          <w:rFonts w:hint="eastAsia" w:ascii="仿宋_GB2312"/>
          <w:szCs w:val="32"/>
          <w:lang w:val="en-US" w:eastAsia="zh-CN"/>
        </w:rPr>
        <w:t>上年结转结余，预算追加，预算调整。每一笔资金申请拨款，到实现支出，都严格按文件、相关流程办理，资金管理安全，专款专用。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效率性分析，主要包括实施进度和完成质量。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年实施进度执行良好，</w:t>
      </w:r>
      <w:r>
        <w:rPr>
          <w:rFonts w:hint="eastAsia" w:ascii="仿宋_GB2312"/>
          <w:szCs w:val="32"/>
          <w:lang w:val="en-US" w:eastAsia="zh-CN"/>
        </w:rPr>
        <w:t>受疫情的影响，各社区居家养老服务中心停运营，政府购买服务及运营补助资金、养老项目资金未能按进度支出。</w:t>
      </w:r>
      <w:r>
        <w:rPr>
          <w:rFonts w:hint="eastAsia" w:ascii="仿宋_GB2312"/>
          <w:szCs w:val="32"/>
        </w:rPr>
        <w:t>上级转移支付资金部分11-12月下达，无法完成，预算范围内资金在保质保量的情况下</w:t>
      </w:r>
      <w:r>
        <w:rPr>
          <w:rFonts w:hint="eastAsia" w:ascii="仿宋_GB2312"/>
          <w:szCs w:val="32"/>
          <w:lang w:eastAsia="zh-CN"/>
        </w:rPr>
        <w:t>，合法、合规</w:t>
      </w:r>
      <w:r>
        <w:rPr>
          <w:rFonts w:hint="eastAsia" w:ascii="仿宋_GB2312"/>
          <w:szCs w:val="32"/>
        </w:rPr>
        <w:t>有序开展完成。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效益性分析，主要包括预期目标完成程度和对经济和社会的影响等。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区民政局整体绩效目标为救助类经费，对经济的促进与发展效益不明显，但保障了弱势群体的基本生活需求，对维护社会发挥了和谐稳定</w:t>
      </w:r>
      <w:r>
        <w:rPr>
          <w:rFonts w:hint="eastAsia" w:ascii="仿宋_GB2312"/>
          <w:szCs w:val="32"/>
          <w:lang w:eastAsia="zh-CN"/>
        </w:rPr>
        <w:t>的</w:t>
      </w:r>
      <w:r>
        <w:rPr>
          <w:rFonts w:hint="eastAsia" w:ascii="仿宋_GB2312"/>
          <w:szCs w:val="32"/>
        </w:rPr>
        <w:t>作用。</w:t>
      </w:r>
    </w:p>
    <w:p>
      <w:pPr>
        <w:numPr>
          <w:ilvl w:val="0"/>
          <w:numId w:val="3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topLinePunct/>
        <w:ind w:left="296" w:firstLine="297" w:firstLineChars="1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rFonts w:hint="eastAsia" w:ascii="仿宋_GB2312" w:hAnsi="仿宋_GB2312" w:cs="仿宋_GB2312"/>
          <w:szCs w:val="32"/>
          <w:lang w:val="en-US" w:eastAsia="zh-CN"/>
        </w:rPr>
        <w:t>在资金有限与工作需求相矛盾的情况下，</w:t>
      </w:r>
      <w:r>
        <w:rPr>
          <w:rFonts w:hint="eastAsia" w:ascii="仿宋_GB2312" w:hAnsi="仿宋_GB2312" w:cs="仿宋_GB2312"/>
          <w:szCs w:val="32"/>
          <w:lang w:eastAsia="zh-CN"/>
        </w:rPr>
        <w:t>绩效管理</w:t>
      </w:r>
      <w:r>
        <w:rPr>
          <w:rFonts w:hint="eastAsia" w:ascii="仿宋_GB2312" w:hAnsi="仿宋_GB2312" w:cs="仿宋_GB2312"/>
          <w:szCs w:val="32"/>
        </w:rPr>
        <w:t>水平有待提高。</w:t>
      </w:r>
    </w:p>
    <w:p>
      <w:pPr>
        <w:topLinePunct/>
        <w:ind w:left="592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2.</w:t>
      </w:r>
      <w:r>
        <w:rPr>
          <w:rFonts w:hint="eastAsia" w:ascii="仿宋_GB2312" w:hAnsi="仿宋_GB2312" w:cs="仿宋_GB2312"/>
          <w:szCs w:val="32"/>
          <w:lang w:eastAsia="zh-CN"/>
        </w:rPr>
        <w:t>单位内部控制制度、绩效管理制度还需进一步修改够完善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         </w:t>
      </w:r>
    </w:p>
    <w:p>
      <w:pPr>
        <w:numPr>
          <w:ilvl w:val="0"/>
          <w:numId w:val="3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有关建议</w:t>
      </w:r>
    </w:p>
    <w:p>
      <w:pPr>
        <w:spacing w:line="240" w:lineRule="atLeast"/>
        <w:ind w:firstLine="594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建议财政部门多组织相关培训，使我们</w:t>
      </w:r>
      <w:r>
        <w:rPr>
          <w:rFonts w:hint="eastAsia" w:ascii="仿宋_GB2312" w:hAnsi="仿宋_GB2312" w:cs="仿宋_GB2312"/>
          <w:lang w:eastAsia="zh-CN"/>
        </w:rPr>
        <w:t>更</w:t>
      </w:r>
      <w:r>
        <w:rPr>
          <w:rFonts w:hint="eastAsia" w:ascii="仿宋_GB2312" w:hAnsi="仿宋_GB2312" w:cs="仿宋_GB2312"/>
        </w:rPr>
        <w:t>能准确把握绩效评价的核心内容，确保评价结果真实准确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同时，</w:t>
      </w:r>
      <w:r>
        <w:rPr>
          <w:rFonts w:hint="eastAsia" w:ascii="仿宋_GB2312" w:hAnsi="仿宋_GB2312" w:cs="仿宋_GB2312"/>
          <w:lang w:eastAsia="zh-CN"/>
        </w:rPr>
        <w:t>全体工作人员</w:t>
      </w:r>
      <w:r>
        <w:rPr>
          <w:rFonts w:hint="eastAsia" w:ascii="仿宋_GB2312" w:hAnsi="仿宋_GB2312" w:cs="仿宋_GB2312"/>
        </w:rPr>
        <w:t>也要加强</w:t>
      </w:r>
      <w:r>
        <w:rPr>
          <w:rFonts w:hint="eastAsia" w:ascii="仿宋_GB2312" w:hAnsi="仿宋_GB2312" w:cs="仿宋_GB2312"/>
          <w:lang w:eastAsia="zh-CN"/>
        </w:rPr>
        <w:t>对资金</w:t>
      </w:r>
      <w:r>
        <w:rPr>
          <w:rFonts w:hint="eastAsia" w:ascii="仿宋_GB2312" w:hAnsi="仿宋_GB2312" w:cs="仿宋_GB2312"/>
        </w:rPr>
        <w:t>绩效管理、绩效评价知识的</w:t>
      </w:r>
      <w:r>
        <w:rPr>
          <w:rFonts w:hint="eastAsia" w:ascii="仿宋_GB2312" w:hAnsi="仿宋_GB2312" w:cs="仿宋_GB2312"/>
          <w:lang w:eastAsia="zh-CN"/>
        </w:rPr>
        <w:t>学习</w:t>
      </w:r>
      <w:r>
        <w:rPr>
          <w:rFonts w:hint="eastAsia" w:ascii="仿宋_GB2312" w:hAnsi="仿宋_GB2312" w:cs="仿宋_GB2312"/>
        </w:rPr>
        <w:t>。</w:t>
      </w:r>
    </w:p>
    <w:p>
      <w:pPr>
        <w:numPr>
          <w:ilvl w:val="0"/>
          <w:numId w:val="3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其他需要说明的问题</w:t>
      </w:r>
    </w:p>
    <w:p>
      <w:pPr>
        <w:topLinePunct/>
        <w:ind w:left="594" w:left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无</w:t>
      </w:r>
    </w:p>
    <w:p/>
    <w:p/>
    <w:p/>
    <w:p>
      <w:pPr>
        <w:tabs>
          <w:tab w:val="left" w:pos="4870"/>
        </w:tabs>
        <w:jc w:val="left"/>
        <w:rPr>
          <w:rFonts w:ascii="仿宋_GB2312" w:hAnsi="仿宋_GB2312" w:cs="仿宋_GB2312"/>
        </w:rPr>
      </w:pPr>
      <w:r>
        <w:rPr>
          <w:rFonts w:hint="eastAsia"/>
        </w:rPr>
        <w:tab/>
      </w:r>
      <w:r>
        <w:rPr>
          <w:rFonts w:hint="eastAsia" w:ascii="仿宋_GB2312" w:hAnsi="仿宋_GB2312" w:cs="仿宋_GB2312"/>
        </w:rPr>
        <w:t>昆明市呈贡区民政局</w:t>
      </w:r>
    </w:p>
    <w:p>
      <w:pPr>
        <w:tabs>
          <w:tab w:val="left" w:pos="5420"/>
        </w:tabs>
        <w:ind w:firstLine="5049" w:firstLineChars="17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27</w:t>
      </w:r>
      <w:r>
        <w:rPr>
          <w:rFonts w:hint="eastAsia" w:ascii="仿宋_GB2312" w:hAnsi="仿宋_GB2312" w:cs="仿宋_GB2312"/>
        </w:rPr>
        <w:t>日</w:t>
      </w:r>
    </w:p>
    <w:p/>
    <w:sectPr>
      <w:footerReference r:id="rId3" w:type="default"/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34B25"/>
    <w:multiLevelType w:val="singleLevel"/>
    <w:tmpl w:val="83034B25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AF1E4E3E"/>
    <w:multiLevelType w:val="singleLevel"/>
    <w:tmpl w:val="AF1E4E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EF9DE90"/>
    <w:multiLevelType w:val="singleLevel"/>
    <w:tmpl w:val="DEF9DE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D3B97"/>
    <w:rsid w:val="00755901"/>
    <w:rsid w:val="00D945D4"/>
    <w:rsid w:val="01DA63CB"/>
    <w:rsid w:val="033143FF"/>
    <w:rsid w:val="03C9198E"/>
    <w:rsid w:val="047E48FF"/>
    <w:rsid w:val="05DD2557"/>
    <w:rsid w:val="06B47539"/>
    <w:rsid w:val="082C717F"/>
    <w:rsid w:val="091D73DD"/>
    <w:rsid w:val="09F24D9D"/>
    <w:rsid w:val="0C3016CF"/>
    <w:rsid w:val="0E714FBA"/>
    <w:rsid w:val="0EA371DD"/>
    <w:rsid w:val="0EC604B9"/>
    <w:rsid w:val="0F6C13C4"/>
    <w:rsid w:val="0FD73781"/>
    <w:rsid w:val="10BC3DC0"/>
    <w:rsid w:val="15E4283A"/>
    <w:rsid w:val="169527C8"/>
    <w:rsid w:val="171D2CF4"/>
    <w:rsid w:val="19A31628"/>
    <w:rsid w:val="1B290283"/>
    <w:rsid w:val="1C8512C2"/>
    <w:rsid w:val="1CC116EE"/>
    <w:rsid w:val="1CEB7FBF"/>
    <w:rsid w:val="1FDE2D55"/>
    <w:rsid w:val="239337EE"/>
    <w:rsid w:val="25EE49DC"/>
    <w:rsid w:val="262C66ED"/>
    <w:rsid w:val="26E03C74"/>
    <w:rsid w:val="2ABA4373"/>
    <w:rsid w:val="2BC86DD8"/>
    <w:rsid w:val="2D7B15E5"/>
    <w:rsid w:val="2F5565D9"/>
    <w:rsid w:val="30677083"/>
    <w:rsid w:val="30D678FF"/>
    <w:rsid w:val="31463998"/>
    <w:rsid w:val="328152D2"/>
    <w:rsid w:val="33D94D2C"/>
    <w:rsid w:val="34D756DB"/>
    <w:rsid w:val="3609476C"/>
    <w:rsid w:val="36981E7D"/>
    <w:rsid w:val="391E3557"/>
    <w:rsid w:val="3BBB2439"/>
    <w:rsid w:val="3CFB6465"/>
    <w:rsid w:val="40421014"/>
    <w:rsid w:val="410A7097"/>
    <w:rsid w:val="4265518A"/>
    <w:rsid w:val="436D0213"/>
    <w:rsid w:val="45B91596"/>
    <w:rsid w:val="46303146"/>
    <w:rsid w:val="48417032"/>
    <w:rsid w:val="48873596"/>
    <w:rsid w:val="48965C4E"/>
    <w:rsid w:val="49847786"/>
    <w:rsid w:val="4B5D250F"/>
    <w:rsid w:val="4CFA43F3"/>
    <w:rsid w:val="4DD83FD4"/>
    <w:rsid w:val="4EA21425"/>
    <w:rsid w:val="4F914258"/>
    <w:rsid w:val="4FEF3247"/>
    <w:rsid w:val="50916654"/>
    <w:rsid w:val="50C511F7"/>
    <w:rsid w:val="50E85812"/>
    <w:rsid w:val="514171EB"/>
    <w:rsid w:val="52F42232"/>
    <w:rsid w:val="54A35DB6"/>
    <w:rsid w:val="55255E5C"/>
    <w:rsid w:val="569A5B0C"/>
    <w:rsid w:val="57F24A32"/>
    <w:rsid w:val="58113C6A"/>
    <w:rsid w:val="58851935"/>
    <w:rsid w:val="593E3547"/>
    <w:rsid w:val="59474AB7"/>
    <w:rsid w:val="5A483044"/>
    <w:rsid w:val="5AA409CD"/>
    <w:rsid w:val="5B717B3A"/>
    <w:rsid w:val="5BBD30B1"/>
    <w:rsid w:val="5CE22F26"/>
    <w:rsid w:val="5E830809"/>
    <w:rsid w:val="5F3B09FA"/>
    <w:rsid w:val="5FBA4951"/>
    <w:rsid w:val="60B1700E"/>
    <w:rsid w:val="6127557F"/>
    <w:rsid w:val="61AE0595"/>
    <w:rsid w:val="61C16E9B"/>
    <w:rsid w:val="62747A9C"/>
    <w:rsid w:val="63546ED6"/>
    <w:rsid w:val="648B3059"/>
    <w:rsid w:val="64D301A3"/>
    <w:rsid w:val="64EB7CA0"/>
    <w:rsid w:val="659D71F3"/>
    <w:rsid w:val="66177C71"/>
    <w:rsid w:val="686C11A2"/>
    <w:rsid w:val="69B16BDE"/>
    <w:rsid w:val="6ABB7AE4"/>
    <w:rsid w:val="6B992AD6"/>
    <w:rsid w:val="6BB33B02"/>
    <w:rsid w:val="6CE57D9D"/>
    <w:rsid w:val="6D9025B6"/>
    <w:rsid w:val="6DF01966"/>
    <w:rsid w:val="6EEA2E36"/>
    <w:rsid w:val="719B7F43"/>
    <w:rsid w:val="734A7289"/>
    <w:rsid w:val="74B92883"/>
    <w:rsid w:val="755D3B97"/>
    <w:rsid w:val="77784E62"/>
    <w:rsid w:val="791020FF"/>
    <w:rsid w:val="7AA85C94"/>
    <w:rsid w:val="7D13600C"/>
    <w:rsid w:val="7F502DFE"/>
    <w:rsid w:val="7F703497"/>
    <w:rsid w:val="7F9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2021-02-23T03:15:00Z</dcterms:created>
  <dc:creator>Administrator</dc:creator>
  <cp:lastModifiedBy>Administrator</cp:lastModifiedBy>
  <cp:lastPrinted>2022-03-21T05:38:32Z</cp:lastPrinted>
  <dcterms:modified xsi:type="dcterms:W3CDTF">2022-03-21T06:16:21Z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