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区就业局项目支出绩效自评报告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ind w:firstLine="594" w:firstLineChars="200"/>
        <w:rPr>
          <w:rFonts w:hint="eastAsia" w:asciiTheme="minorEastAsia" w:hAnsiTheme="minorEastAsia" w:eastAsiaTheme="minorEastAsia"/>
          <w:szCs w:val="32"/>
        </w:rPr>
      </w:pPr>
      <w:r>
        <w:rPr>
          <w:rFonts w:hint="eastAsia" w:asciiTheme="minorEastAsia" w:hAnsiTheme="minorEastAsia" w:eastAsiaTheme="minorEastAsia"/>
          <w:szCs w:val="32"/>
        </w:rPr>
        <w:t>2021年年初区级预算项目4个，预算资金1708万元。2020年上级转移支付项目结转3个，结转资金196.71万元。2021年中央、省、市共下达项目12个，下达资金1415.93万元。截止2021年末，项目总体执行19个，实际执行金额2056.29万元，产生差异的主要原因上级转移支付资金下达较多，所以优先使用上级资金，区级资金部分额度未申请，结转上级资金473.66万元到2022年继续使用。</w:t>
      </w:r>
    </w:p>
    <w:p>
      <w:pPr>
        <w:topLinePunct/>
        <w:ind w:firstLine="594" w:firstLineChars="200"/>
        <w:rPr>
          <w:rFonts w:hint="eastAsia" w:ascii="仿宋_GB2312"/>
          <w:szCs w:val="32"/>
        </w:rPr>
      </w:pPr>
      <w:r>
        <w:rPr>
          <w:rFonts w:hint="eastAsia" w:ascii="仿宋_GB2312"/>
          <w:szCs w:val="32"/>
        </w:rPr>
        <w:t>（二）绩效目标设定及指标完成情况。</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1、公共就业服务专项工作经费区级年初预算63万，实际下达额度63万，支付63万，执行率100%。</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2、创业和就业专项资金区级年初预算1500万，实际申请下达额度815.76万元，支付786.27万元，执行率52.41%，未完成原因主要是由于中央就业资金下达较多，用中央资金开展就业工作。</w:t>
      </w:r>
    </w:p>
    <w:p>
      <w:pPr>
        <w:ind w:firstLine="594" w:firstLineChars="200"/>
        <w:rPr>
          <w:rFonts w:hint="eastAsia" w:cs="宋体" w:asciiTheme="minorEastAsia" w:hAnsiTheme="minorEastAsia" w:eastAsiaTheme="minorEastAsia"/>
          <w:bCs/>
          <w:color w:val="000000" w:themeColor="text1"/>
          <w:szCs w:val="32"/>
          <w:lang w:eastAsia="zh-CN"/>
          <w14:textFill>
            <w14:solidFill>
              <w14:schemeClr w14:val="tx1"/>
            </w14:solidFill>
          </w14:textFill>
        </w:rPr>
      </w:pPr>
      <w:r>
        <w:rPr>
          <w:rFonts w:hint="eastAsia" w:cs="宋体" w:asciiTheme="minorEastAsia" w:hAnsiTheme="minorEastAsia" w:eastAsiaTheme="minorEastAsia"/>
          <w:bCs/>
          <w:szCs w:val="32"/>
        </w:rPr>
        <w:t>3、度假区（大渔片区）移交呈贡区社会事务经费区级年初预算63万元，申请下达42.54万元，支付40.79万元，执行率67.99%，</w:t>
      </w:r>
      <w:r>
        <w:rPr>
          <w:rFonts w:hint="eastAsia" w:cs="宋体" w:asciiTheme="minorEastAsia" w:hAnsiTheme="minorEastAsia" w:eastAsiaTheme="minorEastAsia"/>
          <w:bCs/>
          <w:color w:val="000000" w:themeColor="text1"/>
          <w:szCs w:val="32"/>
          <w:highlight w:val="none"/>
          <w14:textFill>
            <w14:solidFill>
              <w14:schemeClr w14:val="tx1"/>
            </w14:solidFill>
          </w14:textFill>
        </w:rPr>
        <w:t>差异原因主要是</w:t>
      </w:r>
      <w:r>
        <w:rPr>
          <w:rFonts w:hint="eastAsia" w:cs="宋体" w:asciiTheme="minorEastAsia" w:hAnsiTheme="minorEastAsia" w:eastAsiaTheme="minorEastAsia"/>
          <w:bCs/>
          <w:color w:val="000000" w:themeColor="text1"/>
          <w:szCs w:val="32"/>
          <w:highlight w:val="none"/>
          <w:lang w:eastAsia="zh-CN"/>
          <w14:textFill>
            <w14:solidFill>
              <w14:schemeClr w14:val="tx1"/>
            </w14:solidFill>
          </w14:textFill>
        </w:rPr>
        <w:t>大渔街道没有为其公岗人员购买社会保险。</w:t>
      </w:r>
    </w:p>
    <w:p>
      <w:pPr>
        <w:ind w:firstLine="594" w:firstLineChars="200"/>
        <w:rPr>
          <w:rFonts w:cs="宋体" w:asciiTheme="minorEastAsia" w:hAnsiTheme="minorEastAsia" w:eastAsiaTheme="minorEastAsia"/>
          <w:bCs/>
          <w:color w:val="000000" w:themeColor="text1"/>
          <w:szCs w:val="32"/>
          <w14:textFill>
            <w14:solidFill>
              <w14:schemeClr w14:val="tx1"/>
            </w14:solidFill>
          </w14:textFill>
        </w:rPr>
      </w:pPr>
      <w:r>
        <w:rPr>
          <w:rFonts w:hint="eastAsia" w:cs="宋体" w:asciiTheme="minorEastAsia" w:hAnsiTheme="minorEastAsia" w:eastAsiaTheme="minorEastAsia"/>
          <w:bCs/>
          <w:color w:val="000000" w:themeColor="text1"/>
          <w:szCs w:val="32"/>
          <w14:textFill>
            <w14:solidFill>
              <w14:schemeClr w14:val="tx1"/>
            </w14:solidFill>
          </w14:textFill>
        </w:rPr>
        <w:t>4、高新区（马金铺）片区社会事务经费区级年初预算85万</w:t>
      </w:r>
      <w:bookmarkStart w:id="0" w:name="_GoBack"/>
      <w:bookmarkEnd w:id="0"/>
      <w:r>
        <w:rPr>
          <w:rFonts w:hint="eastAsia" w:cs="宋体" w:asciiTheme="minorEastAsia" w:hAnsiTheme="minorEastAsia" w:eastAsiaTheme="minorEastAsia"/>
          <w:bCs/>
          <w:color w:val="000000" w:themeColor="text1"/>
          <w:szCs w:val="32"/>
          <w14:textFill>
            <w14:solidFill>
              <w14:schemeClr w14:val="tx1"/>
            </w14:solidFill>
          </w14:textFill>
        </w:rPr>
        <w:t>元，下达32.25万元，支出27.26万元，执行率32.07%，差异的</w:t>
      </w:r>
      <w:r>
        <w:rPr>
          <w:rFonts w:hint="eastAsia" w:cs="宋体" w:asciiTheme="minorEastAsia" w:hAnsiTheme="minorEastAsia" w:eastAsiaTheme="minorEastAsia"/>
          <w:bCs/>
          <w:color w:val="000000" w:themeColor="text1"/>
          <w:szCs w:val="32"/>
          <w:highlight w:val="none"/>
          <w14:textFill>
            <w14:solidFill>
              <w14:schemeClr w14:val="tx1"/>
            </w14:solidFill>
          </w14:textFill>
        </w:rPr>
        <w:t>主要原因是</w:t>
      </w:r>
      <w:r>
        <w:rPr>
          <w:rFonts w:hint="eastAsia" w:cs="宋体" w:asciiTheme="minorEastAsia" w:hAnsiTheme="minorEastAsia" w:eastAsiaTheme="minorEastAsia"/>
          <w:bCs/>
          <w:color w:val="000000" w:themeColor="text1"/>
          <w:szCs w:val="32"/>
        </w:rPr>
        <w:t>马金铺</w:t>
      </w:r>
      <w:r>
        <w:rPr>
          <w:rFonts w:hint="eastAsia" w:cs="宋体" w:asciiTheme="minorEastAsia" w:hAnsiTheme="minorEastAsia" w:eastAsiaTheme="minorEastAsia"/>
          <w:bCs/>
          <w:color w:val="000000" w:themeColor="text1"/>
          <w:szCs w:val="32"/>
          <w:highlight w:val="none"/>
          <w:lang w:eastAsia="zh-CN"/>
        </w:rPr>
        <w:t>街道没有为其公岗人员购买社会保险。</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color w:val="000000" w:themeColor="text1"/>
          <w:szCs w:val="32"/>
          <w14:textFill>
            <w14:solidFill>
              <w14:schemeClr w14:val="tx1"/>
            </w14:solidFill>
          </w14:textFill>
        </w:rPr>
        <w:t>5、下达202</w:t>
      </w:r>
      <w:r>
        <w:rPr>
          <w:rFonts w:hint="eastAsia" w:cs="宋体" w:asciiTheme="minorEastAsia" w:hAnsiTheme="minorEastAsia" w:eastAsiaTheme="minorEastAsia"/>
          <w:bCs/>
          <w:szCs w:val="32"/>
        </w:rPr>
        <w:t>1年度春节慰问就业困难家庭专项经费市级转移支付下达1万元，实际支付1万元，执行率100%。</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6、下达2021年度高校毕业生社保补贴专项资金50万元（市级），实际支付18.09万元，结转31.91万元，执行率：36.17%。</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7、下达2021年全市就业困难高校毕业生公益性岗位补助资金7.73万元，实际支付7.73万元，执行率100%。</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8、下达2021年昆明市企业下岗失业参战退役人员补贴经费5万元，实际支付5万元，执行率100%。</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9、下达2021年度“留岗红包”市级补助资金2.19万元，实际支付2.19万元，执行率100%。</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10、下达2021年第二批中央就业补助资金955万元，实际支付542.1万元，结转412.9万元，执行率56.76%。</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11、下达2021年昆明市大学生创业扶持补助资金12万元，实际支付12万元，执行率100%。</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12、下达2021年度省对下人力资源和社会保障专项资金25.95万元，实际支付14.18万元，结转11.77万，执行率54.63%。</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13、下达2021年省级就业创业及农村劳动力转移专项经费33.53万元，实际支付27.11万元，结转6.42万元，执行率80.85%。</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14、2020年度（市级）建设农业创业示范村及农业创业示范园区（孵化基地）补助资金25万元，实际支付25万元，执行率100%。</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15、2021年样本企业失业动态监测调查经费0.52万元，实际支付0.52万元，执行率100%。</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16、提前下达2021年中央就业补助资金298万元，实际支付298万元，执行率100%。</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17、（2020年结转）下达2020年省级人力资源和社会保障专项资金15.63万元，实际支付4.98万元，结转10.65万元，执行率31.84%。</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18、（2020年结转）下达基础教育学校和医疗卫生机构专项招聘高校毕业生一次性就业补贴的通知180.5万元，实际支付180.5万元，执行率100%。</w:t>
      </w:r>
    </w:p>
    <w:p>
      <w:pPr>
        <w:ind w:firstLine="594" w:firstLineChars="200"/>
        <w:rPr>
          <w:rFonts w:cs="宋体" w:asciiTheme="minorEastAsia" w:hAnsiTheme="minorEastAsia" w:eastAsiaTheme="minorEastAsia"/>
          <w:bCs/>
          <w:szCs w:val="32"/>
        </w:rPr>
      </w:pPr>
      <w:r>
        <w:rPr>
          <w:rFonts w:hint="eastAsia" w:cs="宋体" w:asciiTheme="minorEastAsia" w:hAnsiTheme="minorEastAsia" w:eastAsiaTheme="minorEastAsia"/>
          <w:bCs/>
          <w:szCs w:val="32"/>
        </w:rPr>
        <w:t>19、下达2020年样本企业失业动态监测调查经费0.58万元，实际支付0.58万元，执行率100%。</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spacing w:line="660" w:lineRule="exact"/>
        <w:ind w:firstLine="594" w:firstLineChars="200"/>
        <w:rPr>
          <w:rFonts w:ascii="仿宋_GB2312" w:hAnsi="仿宋_GB2312" w:cs="仿宋_GB2312"/>
          <w:szCs w:val="32"/>
        </w:rPr>
      </w:pPr>
      <w:r>
        <w:rPr>
          <w:rFonts w:hint="eastAsia" w:ascii="仿宋_GB2312"/>
          <w:szCs w:val="32"/>
        </w:rPr>
        <w:t>项目支出2049.11万元，项目支出中央财政转移支付</w:t>
      </w:r>
      <w:r>
        <w:rPr>
          <w:rFonts w:hint="eastAsia" w:ascii="仿宋_GB2312" w:hAnsi="仿宋_GB2312" w:cs="仿宋_GB2312"/>
          <w:szCs w:val="32"/>
        </w:rPr>
        <w:t>832.92万元，省级财政补助41.28万元，市级财政补助257.58万元，区级财政预算补助创业就业基金为786.27万元，公共就业服务专项工作经费63万</w:t>
      </w:r>
      <w:r>
        <w:rPr>
          <w:rFonts w:ascii="仿宋_GB2312" w:hAnsi="仿宋_GB2312" w:cs="仿宋_GB2312"/>
          <w:szCs w:val="32"/>
        </w:rPr>
        <w:t>，高新区（马金铺）片区社会事务经费</w:t>
      </w:r>
      <w:r>
        <w:rPr>
          <w:rFonts w:hint="eastAsia" w:ascii="仿宋_GB2312" w:hAnsi="仿宋_GB2312" w:cs="仿宋_GB2312"/>
          <w:szCs w:val="32"/>
        </w:rPr>
        <w:t>27.26</w:t>
      </w:r>
      <w:r>
        <w:rPr>
          <w:rFonts w:ascii="仿宋_GB2312" w:hAnsi="仿宋_GB2312" w:cs="仿宋_GB2312"/>
          <w:szCs w:val="32"/>
        </w:rPr>
        <w:t>万，度假区（大渔片区）社会事务经费</w:t>
      </w:r>
      <w:r>
        <w:rPr>
          <w:rFonts w:hint="eastAsia" w:ascii="仿宋_GB2312" w:hAnsi="仿宋_GB2312" w:cs="仿宋_GB2312"/>
          <w:szCs w:val="32"/>
        </w:rPr>
        <w:t>40.79</w:t>
      </w:r>
      <w:r>
        <w:rPr>
          <w:rFonts w:ascii="仿宋_GB2312" w:hAnsi="仿宋_GB2312" w:cs="仿宋_GB2312"/>
          <w:szCs w:val="32"/>
        </w:rPr>
        <w:t>万。</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hAnsi="仿宋_GB2312" w:cs="仿宋_GB2312"/>
          <w:szCs w:val="32"/>
        </w:rPr>
        <w:t>区就业局项目经过认真梳理，特殊项目经过前期调研，重大资金项目按政府采购流程办理，项目用途严格按照年初目标执行，结合资金管理办法及三重一大会议决策重大事项，日常资金由科室初审，财务二审，分管领导三审，主管局把关等多重检查制度来执行。</w:t>
      </w:r>
    </w:p>
    <w:p>
      <w:pPr>
        <w:topLinePunct/>
        <w:ind w:firstLine="594" w:firstLineChars="200"/>
        <w:rPr>
          <w:rFonts w:ascii="黑体" w:eastAsia="黑体"/>
          <w:szCs w:val="32"/>
        </w:rPr>
      </w:pPr>
      <w:r>
        <w:rPr>
          <w:rFonts w:hint="eastAsia" w:ascii="黑体" w:eastAsia="黑体"/>
          <w:szCs w:val="32"/>
        </w:rPr>
        <w:t>四、项目绩效情况</w:t>
      </w:r>
    </w:p>
    <w:p>
      <w:pPr>
        <w:pStyle w:val="8"/>
        <w:numPr>
          <w:ilvl w:val="0"/>
          <w:numId w:val="1"/>
        </w:numPr>
        <w:spacing w:line="360" w:lineRule="auto"/>
        <w:ind w:firstLine="594" w:firstLineChars="200"/>
        <w:rPr>
          <w:rFonts w:ascii="仿宋_GB2312" w:eastAsia="仿宋_GB2312"/>
          <w:sz w:val="32"/>
          <w:szCs w:val="32"/>
        </w:rPr>
      </w:pPr>
      <w:r>
        <w:rPr>
          <w:rFonts w:hint="eastAsia" w:ascii="仿宋_GB2312" w:hAnsi="仿宋_GB2312" w:eastAsia="仿宋_GB2312" w:cs="仿宋_GB2312"/>
          <w:sz w:val="32"/>
          <w:szCs w:val="32"/>
        </w:rPr>
        <w:t>提</w:t>
      </w:r>
      <w:r>
        <w:rPr>
          <w:rFonts w:hint="eastAsia" w:ascii="仿宋_GB2312" w:eastAsia="仿宋_GB2312"/>
          <w:sz w:val="32"/>
          <w:szCs w:val="32"/>
        </w:rPr>
        <w:t>供有效就业岗位3190个，完成目标任务2500人的150%，新增城镇就业人数8344人，完成变更目标任务6000人的139.07%，城镇失业人员再就业1325人，完成目标任务1000人的132.5%，就业困难人员再就业1179人，完成目标任务995人的118.49%，累计开发公益性岗位379人。</w:t>
      </w:r>
    </w:p>
    <w:p>
      <w:pPr>
        <w:pStyle w:val="8"/>
        <w:numPr>
          <w:ilvl w:val="0"/>
          <w:numId w:val="1"/>
        </w:numPr>
        <w:spacing w:line="360" w:lineRule="auto"/>
        <w:ind w:firstLine="594" w:firstLineChars="200"/>
        <w:rPr>
          <w:rFonts w:ascii="仿宋_GB2312" w:eastAsia="仿宋_GB2312"/>
          <w:sz w:val="32"/>
          <w:szCs w:val="32"/>
        </w:rPr>
      </w:pPr>
      <w:r>
        <w:rPr>
          <w:rFonts w:hint="eastAsia" w:ascii="仿宋_GB2312" w:eastAsia="仿宋_GB2312"/>
          <w:sz w:val="32"/>
          <w:szCs w:val="32"/>
        </w:rPr>
        <w:t>城镇登记失业率保持在3.8%。</w:t>
      </w:r>
    </w:p>
    <w:p>
      <w:pPr>
        <w:pStyle w:val="8"/>
        <w:numPr>
          <w:ilvl w:val="0"/>
          <w:numId w:val="1"/>
        </w:numPr>
        <w:spacing w:line="360" w:lineRule="auto"/>
        <w:ind w:firstLine="594" w:firstLineChars="200"/>
      </w:pPr>
      <w:r>
        <w:rPr>
          <w:rFonts w:hint="eastAsia" w:ascii="仿宋_GB2312" w:hAnsi="仿宋_GB2312" w:eastAsia="仿宋_GB2312" w:cs="仿宋_GB2312"/>
          <w:sz w:val="32"/>
          <w:szCs w:val="32"/>
        </w:rPr>
        <w:t>接收安置禄劝县农村劳动力转移就业数1046人，完成目标任务的116.2%，接收转移建档立卡贫困劳动力就业人数721人，完成目标任务的100.14%，组织安置禄劝县贫困农村劳动力现场招聘会6场次，累计提供有效就业岗位10202个，完成目标任务的102.02%，提前完成2021年对口精准帮扶工作任务。</w:t>
      </w:r>
    </w:p>
    <w:p>
      <w:pPr>
        <w:pStyle w:val="8"/>
        <w:numPr>
          <w:ilvl w:val="0"/>
          <w:numId w:val="1"/>
        </w:numPr>
        <w:spacing w:line="360" w:lineRule="auto"/>
        <w:ind w:firstLine="594" w:firstLineChars="200"/>
        <w:rPr>
          <w:rFonts w:ascii="仿宋_GB2312" w:eastAsia="仿宋_GB2312"/>
          <w:sz w:val="32"/>
          <w:szCs w:val="32"/>
        </w:rPr>
      </w:pPr>
      <w:r>
        <w:rPr>
          <w:rFonts w:hint="eastAsia" w:ascii="仿宋_GB2312" w:hAnsi="仿宋" w:eastAsia="仿宋_GB2312"/>
          <w:sz w:val="32"/>
          <w:szCs w:val="32"/>
        </w:rPr>
        <w:t>农村劳动力已转移就业51876人，完成目标任务50550人的102.62%，其中省外转移就业人数1569人，完成目标任务1540人的101.88%；脱贫劳动力转移就业347人，完成目标任务300人的115.67%，新增农村劳动力转移就业人数2810人，完成目标任务2700人的104.07%；新增转移就业收入6109.25万元，完成目标任务4050万元的150.85%。</w:t>
      </w:r>
    </w:p>
    <w:p>
      <w:pPr>
        <w:pStyle w:val="8"/>
        <w:numPr>
          <w:ilvl w:val="0"/>
          <w:numId w:val="1"/>
        </w:numPr>
        <w:spacing w:line="360" w:lineRule="auto"/>
        <w:ind w:firstLine="594" w:firstLineChars="200"/>
        <w:rPr>
          <w:rFonts w:ascii="仿宋_GB2312" w:eastAsia="仿宋_GB2312"/>
          <w:sz w:val="32"/>
          <w:szCs w:val="32"/>
        </w:rPr>
      </w:pPr>
      <w:r>
        <w:rPr>
          <w:rFonts w:hint="eastAsia" w:ascii="仿宋_GB2312" w:eastAsia="仿宋_GB2312"/>
          <w:sz w:val="32"/>
          <w:szCs w:val="32"/>
        </w:rPr>
        <w:t>发放“贷免扶补”创业小额贷款130人，金额2510万元，完成年目标任务95人的104%；创业担保贷款193人，金额1850万元，完成年目标任务170人的114%；</w:t>
      </w:r>
    </w:p>
    <w:p>
      <w:pPr>
        <w:pStyle w:val="8"/>
        <w:numPr>
          <w:ilvl w:val="0"/>
          <w:numId w:val="1"/>
        </w:numPr>
        <w:spacing w:line="360" w:lineRule="auto"/>
        <w:ind w:firstLine="594" w:firstLineChars="200"/>
        <w:rPr>
          <w:rFonts w:ascii="仿宋_GB2312" w:eastAsia="仿宋_GB2312"/>
          <w:sz w:val="32"/>
          <w:szCs w:val="32"/>
        </w:rPr>
      </w:pPr>
      <w:r>
        <w:rPr>
          <w:rFonts w:hint="eastAsia" w:ascii="仿宋_GB2312" w:eastAsia="仿宋_GB2312"/>
          <w:sz w:val="32"/>
          <w:szCs w:val="32"/>
        </w:rPr>
        <w:t>城镇职工失业保险参保人数35011人，参保率98</w:t>
      </w:r>
      <w:r>
        <w:rPr>
          <w:rFonts w:ascii="仿宋_GB2312" w:eastAsia="仿宋_GB2312"/>
          <w:sz w:val="32"/>
          <w:szCs w:val="32"/>
        </w:rPr>
        <w:t>%</w:t>
      </w:r>
      <w:r>
        <w:rPr>
          <w:rFonts w:hint="eastAsia" w:ascii="仿宋_GB2312" w:eastAsia="仿宋_GB2312"/>
          <w:sz w:val="32"/>
          <w:szCs w:val="32"/>
        </w:rPr>
        <w:t>，完成年目标任务33400人的104.82</w:t>
      </w:r>
      <w:r>
        <w:rPr>
          <w:rFonts w:ascii="仿宋_GB2312" w:eastAsia="仿宋_GB2312"/>
          <w:sz w:val="32"/>
          <w:szCs w:val="32"/>
        </w:rPr>
        <w:t>%</w:t>
      </w:r>
      <w:r>
        <w:rPr>
          <w:rFonts w:hint="eastAsia" w:ascii="仿宋_GB2312" w:eastAsia="仿宋_GB2312"/>
          <w:sz w:val="32"/>
          <w:szCs w:val="32"/>
        </w:rPr>
        <w:t>。</w:t>
      </w:r>
    </w:p>
    <w:p>
      <w:pPr>
        <w:pStyle w:val="8"/>
        <w:numPr>
          <w:ilvl w:val="0"/>
          <w:numId w:val="1"/>
        </w:numPr>
        <w:spacing w:line="360" w:lineRule="auto"/>
        <w:ind w:firstLine="594" w:firstLineChars="200"/>
        <w:rPr>
          <w:rFonts w:ascii="仿宋_GB2312" w:eastAsia="仿宋_GB2312"/>
          <w:sz w:val="32"/>
          <w:szCs w:val="32"/>
        </w:rPr>
      </w:pPr>
      <w:r>
        <w:rPr>
          <w:rFonts w:hint="eastAsia" w:ascii="仿宋_GB2312" w:eastAsia="仿宋_GB2312"/>
          <w:sz w:val="32"/>
          <w:szCs w:val="32"/>
        </w:rPr>
        <w:t>开展高校毕业生就业服务月和大中城市联合招聘等专项活动，举办高校毕业生就业招聘活动7场（次），完成年目标任务7场次的100</w:t>
      </w:r>
      <w:r>
        <w:rPr>
          <w:rFonts w:ascii="仿宋_GB2312" w:eastAsia="仿宋_GB2312"/>
          <w:sz w:val="32"/>
          <w:szCs w:val="32"/>
        </w:rPr>
        <w:t>%</w:t>
      </w:r>
      <w:r>
        <w:rPr>
          <w:rFonts w:hint="eastAsia" w:ascii="仿宋_GB2312" w:eastAsia="仿宋_GB2312"/>
          <w:sz w:val="32"/>
          <w:szCs w:val="32"/>
        </w:rPr>
        <w:t>。</w:t>
      </w:r>
    </w:p>
    <w:p>
      <w:pPr>
        <w:numPr>
          <w:ilvl w:val="0"/>
          <w:numId w:val="1"/>
        </w:numPr>
        <w:spacing w:line="360" w:lineRule="auto"/>
        <w:ind w:firstLine="594" w:firstLineChars="200"/>
      </w:pPr>
      <w:r>
        <w:rPr>
          <w:rFonts w:hint="eastAsia" w:ascii="仿宋_GB2312" w:hAnsi="仿宋"/>
          <w:szCs w:val="32"/>
        </w:rPr>
        <w:t>贯彻落实呈贡区鼓励高校毕业生就业创业实施办法，截至目前</w:t>
      </w:r>
      <w:r>
        <w:rPr>
          <w:rFonts w:hint="eastAsia" w:ascii="仿宋_GB2312" w:hAnsi="仿宋_GB2312" w:cs="仿宋_GB2312"/>
          <w:szCs w:val="32"/>
        </w:rPr>
        <w:t>，共认定实习实训基地71家，到</w:t>
      </w:r>
      <w:r>
        <w:rPr>
          <w:rFonts w:hint="eastAsia" w:ascii="仿宋_GB2312" w:cs="仿宋"/>
          <w:kern w:val="0"/>
          <w:szCs w:val="32"/>
          <w:lang w:bidi="th-TH"/>
        </w:rPr>
        <w:t>实习实训基地实习大学生83人，兑付实习实训交通补贴6.36万元。兑付</w:t>
      </w:r>
      <w:r>
        <w:rPr>
          <w:rFonts w:hint="eastAsia" w:ascii="仿宋_GB2312" w:hAnsi="仿宋_GB2312" w:cs="仿宋_GB2312"/>
          <w:szCs w:val="32"/>
        </w:rPr>
        <w:t>岗位开发补贴11.4万元（21家企业），兑付个人工资补助50.14万元（硕士研究生5人，大学本科52人），总计兑付资金67.9万元。</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ascii="仿宋_GB2312"/>
          <w:szCs w:val="32"/>
        </w:rPr>
      </w:pPr>
      <w:r>
        <w:rPr>
          <w:rFonts w:hint="eastAsia" w:ascii="仿宋_GB2312"/>
          <w:szCs w:val="32"/>
        </w:rPr>
        <w:t>区级资金由科室预算，局务会讨论同意后立项，符合单位职能要求与发展发向，依据充分。上级转移支付资金附上级项目依据文件，我单位严格按照要求执行。</w:t>
      </w:r>
    </w:p>
    <w:p>
      <w:pPr>
        <w:topLinePunct/>
        <w:ind w:firstLine="594" w:firstLineChars="200"/>
        <w:rPr>
          <w:rFonts w:hint="eastAsia" w:ascii="仿宋_GB2312"/>
          <w:szCs w:val="32"/>
        </w:rPr>
      </w:pPr>
      <w:r>
        <w:rPr>
          <w:rFonts w:hint="eastAsia" w:ascii="仿宋_GB2312"/>
          <w:szCs w:val="32"/>
        </w:rPr>
        <w:t>（二）资金分配方面的问题。资金分配是否合理，突出重点，公平公正；有无散小差现象；资金分配和使用方向是否与资金管理办法相符等。</w:t>
      </w:r>
    </w:p>
    <w:p>
      <w:pPr>
        <w:topLinePunct/>
        <w:ind w:firstLine="594" w:firstLineChars="200"/>
        <w:rPr>
          <w:rFonts w:ascii="仿宋_GB2312"/>
          <w:szCs w:val="32"/>
        </w:rPr>
      </w:pPr>
      <w:r>
        <w:rPr>
          <w:rFonts w:hint="eastAsia" w:ascii="仿宋_GB2312"/>
          <w:szCs w:val="32"/>
        </w:rPr>
        <w:t>区就业局重点资金为创业就业专项资金，2020年已经将零散，小的资金合并管理，上级资金一事一议项目较大，符合资金管理办法的要求。</w:t>
      </w:r>
    </w:p>
    <w:p>
      <w:pPr>
        <w:topLinePunct/>
        <w:ind w:firstLine="594" w:firstLineChars="200"/>
        <w:rPr>
          <w:rFonts w:hint="eastAsia" w:ascii="仿宋_GB2312"/>
          <w:szCs w:val="32"/>
        </w:rPr>
      </w:pPr>
      <w:r>
        <w:rPr>
          <w:rFonts w:hint="eastAsia" w:ascii="仿宋_GB2312"/>
          <w:szCs w:val="32"/>
        </w:rPr>
        <w:t>（三）资金拨付方面的问题。拨付是否及时，有无滞留、闲置等现象。</w:t>
      </w:r>
    </w:p>
    <w:p>
      <w:pPr>
        <w:topLinePunct/>
        <w:ind w:firstLine="594" w:firstLineChars="200"/>
        <w:rPr>
          <w:rFonts w:ascii="仿宋_GB2312"/>
          <w:szCs w:val="32"/>
        </w:rPr>
      </w:pPr>
      <w:r>
        <w:rPr>
          <w:rFonts w:hint="eastAsia" w:ascii="仿宋_GB2312"/>
          <w:szCs w:val="32"/>
        </w:rPr>
        <w:t>区就业局资金拨付及时，加大对创业就业资金的拨付力度。</w:t>
      </w:r>
    </w:p>
    <w:p>
      <w:pPr>
        <w:topLinePunct/>
        <w:ind w:firstLine="594" w:firstLineChars="200"/>
        <w:rPr>
          <w:rFonts w:hint="eastAsia" w:ascii="仿宋_GB2312"/>
          <w:szCs w:val="32"/>
        </w:rPr>
      </w:pPr>
      <w:r>
        <w:rPr>
          <w:rFonts w:hint="eastAsia" w:ascii="仿宋_GB2312"/>
          <w:szCs w:val="32"/>
        </w:rPr>
        <w:t>（四）资金使用方面的问题。资金使用是否合规，有无截留、挪用等现象，资金使用是否产生效益等。</w:t>
      </w:r>
    </w:p>
    <w:p>
      <w:pPr>
        <w:topLinePunct/>
        <w:ind w:firstLine="594" w:firstLineChars="200"/>
        <w:rPr>
          <w:rFonts w:ascii="仿宋_GB2312"/>
          <w:szCs w:val="32"/>
        </w:rPr>
      </w:pPr>
      <w:r>
        <w:rPr>
          <w:rFonts w:hint="eastAsia" w:ascii="仿宋_GB2312"/>
          <w:szCs w:val="32"/>
        </w:rPr>
        <w:t>区就业局资金使用合理合规，不存在截留，挪用等情况。</w:t>
      </w:r>
    </w:p>
    <w:p>
      <w:pPr>
        <w:topLinePunct/>
        <w:ind w:firstLine="594" w:firstLineChars="200"/>
        <w:rPr>
          <w:rFonts w:hint="eastAsia" w:ascii="黑体" w:eastAsia="黑体"/>
          <w:szCs w:val="32"/>
        </w:rPr>
      </w:pPr>
      <w:r>
        <w:rPr>
          <w:rFonts w:hint="eastAsia" w:ascii="黑体" w:eastAsia="黑体"/>
          <w:szCs w:val="32"/>
        </w:rPr>
        <w:t>六、其他需要说明的问题</w:t>
      </w:r>
    </w:p>
    <w:p>
      <w:pPr>
        <w:topLinePunct/>
        <w:ind w:firstLine="594" w:firstLineChars="200"/>
        <w:rPr>
          <w:rFonts w:ascii="黑体" w:eastAsia="黑体"/>
          <w:szCs w:val="32"/>
        </w:rPr>
      </w:pPr>
      <w:r>
        <w:rPr>
          <w:rFonts w:hint="eastAsia" w:ascii="黑体" w:eastAsia="黑体"/>
          <w:szCs w:val="32"/>
        </w:rPr>
        <w:t>无</w:t>
      </w:r>
    </w:p>
    <w:p>
      <w:pPr>
        <w:pStyle w:val="9"/>
        <w:numPr>
          <w:ilvl w:val="0"/>
          <w:numId w:val="2"/>
        </w:numPr>
        <w:topLinePunct/>
        <w:ind w:firstLineChars="0"/>
        <w:rPr>
          <w:rFonts w:hint="eastAsia" w:ascii="仿宋_GB2312"/>
          <w:szCs w:val="32"/>
        </w:rPr>
      </w:pPr>
      <w:r>
        <w:rPr>
          <w:rFonts w:hint="eastAsia" w:ascii="仿宋_GB2312"/>
          <w:szCs w:val="32"/>
        </w:rPr>
        <w:t>后续工作计划。</w:t>
      </w:r>
    </w:p>
    <w:p>
      <w:pPr>
        <w:pStyle w:val="9"/>
        <w:topLinePunct/>
        <w:ind w:left="1673" w:firstLine="0" w:firstLineChars="0"/>
        <w:rPr>
          <w:rFonts w:ascii="仿宋_GB2312"/>
          <w:szCs w:val="32"/>
        </w:rPr>
      </w:pPr>
      <w:r>
        <w:rPr>
          <w:rFonts w:hint="eastAsia" w:ascii="仿宋_GB2312"/>
          <w:szCs w:val="32"/>
        </w:rPr>
        <w:t>加强绩效管理，资金管理等知识技能提升。</w:t>
      </w:r>
    </w:p>
    <w:p>
      <w:pPr>
        <w:topLinePunct/>
        <w:ind w:firstLine="594" w:firstLineChars="200"/>
        <w:rPr>
          <w:rFonts w:ascii="仿宋_GB2312"/>
          <w:szCs w:val="32"/>
        </w:rPr>
      </w:pPr>
      <w:r>
        <w:rPr>
          <w:rFonts w:hint="eastAsia" w:ascii="仿宋_GB2312"/>
          <w:szCs w:val="32"/>
        </w:rPr>
        <w:t>（二）主要经验做法、改进措施和有关建议等。</w:t>
      </w:r>
    </w:p>
    <w:p>
      <w:r>
        <w:rPr>
          <w:rFonts w:hint="eastAsia"/>
        </w:rPr>
        <w:t xml:space="preserve">      无</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3C7C8"/>
    <w:multiLevelType w:val="singleLevel"/>
    <w:tmpl w:val="84D3C7C8"/>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75587A52"/>
    <w:multiLevelType w:val="multilevel"/>
    <w:tmpl w:val="75587A52"/>
    <w:lvl w:ilvl="0" w:tentative="0">
      <w:start w:val="1"/>
      <w:numFmt w:val="japaneseCounting"/>
      <w:lvlText w:val="（%1）"/>
      <w:lvlJc w:val="left"/>
      <w:pPr>
        <w:ind w:left="1673" w:hanging="1080"/>
      </w:pPr>
      <w:rPr>
        <w:rFonts w:hint="default"/>
      </w:rPr>
    </w:lvl>
    <w:lvl w:ilvl="1" w:tentative="0">
      <w:start w:val="1"/>
      <w:numFmt w:val="lowerLetter"/>
      <w:lvlText w:val="%2)"/>
      <w:lvlJc w:val="left"/>
      <w:pPr>
        <w:ind w:left="1433" w:hanging="420"/>
      </w:pPr>
    </w:lvl>
    <w:lvl w:ilvl="2" w:tentative="0">
      <w:start w:val="1"/>
      <w:numFmt w:val="lowerRoman"/>
      <w:lvlText w:val="%3."/>
      <w:lvlJc w:val="right"/>
      <w:pPr>
        <w:ind w:left="1853" w:hanging="420"/>
      </w:pPr>
    </w:lvl>
    <w:lvl w:ilvl="3" w:tentative="0">
      <w:start w:val="1"/>
      <w:numFmt w:val="decimal"/>
      <w:lvlText w:val="%4."/>
      <w:lvlJc w:val="left"/>
      <w:pPr>
        <w:ind w:left="2273" w:hanging="420"/>
      </w:pPr>
    </w:lvl>
    <w:lvl w:ilvl="4" w:tentative="0">
      <w:start w:val="1"/>
      <w:numFmt w:val="lowerLetter"/>
      <w:lvlText w:val="%5)"/>
      <w:lvlJc w:val="left"/>
      <w:pPr>
        <w:ind w:left="2693" w:hanging="420"/>
      </w:pPr>
    </w:lvl>
    <w:lvl w:ilvl="5" w:tentative="0">
      <w:start w:val="1"/>
      <w:numFmt w:val="lowerRoman"/>
      <w:lvlText w:val="%6."/>
      <w:lvlJc w:val="right"/>
      <w:pPr>
        <w:ind w:left="3113" w:hanging="420"/>
      </w:pPr>
    </w:lvl>
    <w:lvl w:ilvl="6" w:tentative="0">
      <w:start w:val="1"/>
      <w:numFmt w:val="decimal"/>
      <w:lvlText w:val="%7."/>
      <w:lvlJc w:val="left"/>
      <w:pPr>
        <w:ind w:left="3533" w:hanging="420"/>
      </w:pPr>
    </w:lvl>
    <w:lvl w:ilvl="7" w:tentative="0">
      <w:start w:val="1"/>
      <w:numFmt w:val="lowerLetter"/>
      <w:lvlText w:val="%8)"/>
      <w:lvlJc w:val="left"/>
      <w:pPr>
        <w:ind w:left="3953" w:hanging="420"/>
      </w:pPr>
    </w:lvl>
    <w:lvl w:ilvl="8" w:tentative="0">
      <w:start w:val="1"/>
      <w:numFmt w:val="lowerRoman"/>
      <w:lvlText w:val="%9."/>
      <w:lvlJc w:val="right"/>
      <w:pPr>
        <w:ind w:left="43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7525"/>
    <w:rsid w:val="00687525"/>
    <w:rsid w:val="00733BD6"/>
    <w:rsid w:val="009E53DE"/>
    <w:rsid w:val="00BE7B17"/>
    <w:rsid w:val="00ED5A61"/>
    <w:rsid w:val="00FC398F"/>
    <w:rsid w:val="05AE36CA"/>
    <w:rsid w:val="21817A20"/>
    <w:rsid w:val="378A5996"/>
    <w:rsid w:val="3E8B4712"/>
    <w:rsid w:val="5A3C6978"/>
    <w:rsid w:val="67600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 w:type="paragraph" w:customStyle="1" w:styleId="8">
    <w:name w:val="实施方案正文"/>
    <w:basedOn w:val="1"/>
    <w:qFormat/>
    <w:uiPriority w:val="0"/>
    <w:pPr>
      <w:ind w:firstLine="566" w:firstLineChars="202"/>
    </w:pPr>
    <w:rPr>
      <w:rFonts w:ascii="Times New Roman" w:hAnsi="Times New Roman" w:eastAsia="宋体" w:cs="Times New Roman"/>
      <w:kern w:val="0"/>
      <w:sz w:val="21"/>
      <w:szCs w:val="2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2617</Words>
  <Characters>3152</Characters>
  <Lines>22</Lines>
  <Paragraphs>6</Paragraphs>
  <TotalTime>0</TotalTime>
  <ScaleCrop>false</ScaleCrop>
  <LinksUpToDate>false</LinksUpToDate>
  <CharactersWithSpaces>3158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ThinkCentre</cp:lastModifiedBy>
  <dcterms:modified xsi:type="dcterms:W3CDTF">2022-03-28T08:11:49Z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5FBDB30BD58343EEB4BEBE210057C9DB</vt:lpwstr>
  </property>
</Properties>
</file>