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职业年金启动投资运营前个人账户计息有关事项工作经费</w:t>
      </w:r>
      <w:r>
        <w:rPr>
          <w:rFonts w:hint="eastAsia" w:ascii="仿宋_GB2312" w:hAnsi="仿宋_GB2312" w:eastAsia="仿宋_GB2312" w:cs="仿宋_GB2312"/>
          <w:szCs w:val="32"/>
          <w:lang w:val="en-US" w:eastAsia="zh-CN"/>
        </w:rPr>
        <w:t>2021年年初预算金额为887万元，决算数为735.6</w:t>
      </w:r>
      <w:r>
        <w:rPr>
          <w:rFonts w:hint="eastAsia" w:ascii="仿宋_GB2312" w:hAnsi="仿宋_GB2312" w:cs="仿宋_GB2312"/>
          <w:szCs w:val="32"/>
          <w:lang w:val="en-US" w:eastAsia="zh-CN"/>
        </w:rPr>
        <w:t>4</w:t>
      </w:r>
      <w:r>
        <w:rPr>
          <w:rFonts w:hint="eastAsia" w:ascii="仿宋_GB2312" w:hAnsi="仿宋_GB2312" w:eastAsia="仿宋_GB2312" w:cs="仿宋_GB2312"/>
          <w:szCs w:val="32"/>
          <w:lang w:val="en-US" w:eastAsia="zh-CN"/>
        </w:rPr>
        <w:t>万元。</w:t>
      </w:r>
    </w:p>
    <w:p>
      <w:pPr>
        <w:topLinePunct/>
        <w:ind w:firstLine="594" w:firstLineChars="200"/>
        <w:rPr>
          <w:rFonts w:hint="default" w:ascii="仿宋_GB2312"/>
          <w:szCs w:val="32"/>
          <w:lang w:val="en-US"/>
        </w:rPr>
      </w:pPr>
      <w:r>
        <w:rPr>
          <w:rFonts w:hint="eastAsia" w:ascii="仿宋_GB2312"/>
          <w:szCs w:val="32"/>
          <w:lang w:val="en-US" w:eastAsia="zh-CN"/>
        </w:rPr>
        <w:t>根据《人力资源社会保障部办公厅  财政部办公厅关于职业年金启动投资运营前个人账户记账利率和投资收益率有关事项的通知》（人社厅发[2019]3号）精神，我局开展职业年金启动投资运营前个人账户计息相关工作。职业年金统一记账利率的时间为2019年1月1日至2020年5月31日。职业年金记账部分的记账利率和实账积累部分的投资收益率均按5%计算，所需资金由同级财政给予保障。</w:t>
      </w:r>
    </w:p>
    <w:p>
      <w:pPr>
        <w:numPr>
          <w:ilvl w:val="0"/>
          <w:numId w:val="1"/>
        </w:numPr>
        <w:topLinePunct/>
        <w:ind w:left="594" w:leftChars="200" w:firstLine="0" w:firstLineChars="0"/>
        <w:rPr>
          <w:rFonts w:hint="eastAsia" w:ascii="仿宋_GB2312"/>
          <w:szCs w:val="32"/>
        </w:rPr>
      </w:pPr>
      <w:r>
        <w:rPr>
          <w:rFonts w:hint="eastAsia" w:ascii="仿宋_GB2312"/>
          <w:szCs w:val="32"/>
        </w:rPr>
        <w:t>绩效目标设定及指标完成情况。</w:t>
      </w:r>
    </w:p>
    <w:p>
      <w:pPr>
        <w:topLinePunct/>
        <w:ind w:firstLine="594" w:firstLineChars="200"/>
        <w:rPr>
          <w:rFonts w:hint="eastAsia" w:ascii="仿宋_GB2312"/>
          <w:szCs w:val="32"/>
          <w:lang w:val="en-US" w:eastAsia="zh-CN"/>
        </w:rPr>
      </w:pPr>
      <w:r>
        <w:rPr>
          <w:rFonts w:hint="eastAsia" w:ascii="仿宋_GB2312"/>
          <w:szCs w:val="32"/>
          <w:lang w:val="en-US" w:eastAsia="zh-CN"/>
        </w:rPr>
        <w:t>2021年度区社保局共上划上级735.64万元个人账户计息资金。职业年金个人账户计息工作，落实了省、市职业年金相关政策，维护了参保人员切身利益，保障了省级部门顺利投资运营职业年金，促进了职业年金制度的正常运行。</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rPr>
        <w:t>202</w:t>
      </w:r>
      <w:r>
        <w:rPr>
          <w:rFonts w:hint="eastAsia" w:ascii="仿宋_GB2312"/>
          <w:lang w:val="en-US" w:eastAsia="zh-CN"/>
        </w:rPr>
        <w:t>1</w:t>
      </w:r>
      <w:r>
        <w:rPr>
          <w:rFonts w:hint="eastAsia" w:ascii="仿宋_GB2312"/>
        </w:rPr>
        <w:t>年度呈贡区社保局</w:t>
      </w:r>
      <w:r>
        <w:rPr>
          <w:rFonts w:hint="eastAsia" w:ascii="仿宋_GB2312" w:hAnsi="仿宋_GB2312" w:eastAsia="仿宋_GB2312" w:cs="仿宋_GB2312"/>
          <w:szCs w:val="32"/>
        </w:rPr>
        <w:t>职业年金启动投资运营前个人账户计息有关事项工作经费</w:t>
      </w:r>
      <w:r>
        <w:rPr>
          <w:rFonts w:hint="eastAsia" w:ascii="仿宋_GB2312"/>
        </w:rPr>
        <w:t>资金到位及时，资金</w:t>
      </w:r>
      <w:r>
        <w:rPr>
          <w:rFonts w:hint="eastAsia" w:ascii="仿宋_GB2312"/>
          <w:lang w:val="en-US" w:eastAsia="zh-CN"/>
        </w:rPr>
        <w:t>上划</w:t>
      </w:r>
      <w:r>
        <w:rPr>
          <w:rFonts w:hint="eastAsia" w:ascii="仿宋_GB2312"/>
        </w:rPr>
        <w:t>均按照相关</w:t>
      </w:r>
      <w:r>
        <w:rPr>
          <w:rFonts w:hint="eastAsia" w:ascii="仿宋_GB2312"/>
          <w:lang w:val="en-US" w:eastAsia="zh-CN"/>
        </w:rPr>
        <w:t>文件</w:t>
      </w:r>
      <w:r>
        <w:rPr>
          <w:rFonts w:hint="eastAsia" w:ascii="仿宋_GB2312"/>
        </w:rPr>
        <w:t>要求严格列支。</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cs="仿宋_GB2312"/>
          <w:szCs w:val="32"/>
        </w:rPr>
        <w:t>呈贡区</w:t>
      </w:r>
      <w:r>
        <w:rPr>
          <w:rFonts w:hint="eastAsia" w:ascii="仿宋_GB2312" w:hAnsi="仿宋_GB2312" w:cs="仿宋_GB2312"/>
          <w:szCs w:val="32"/>
          <w:lang w:val="en-US" w:eastAsia="zh-CN"/>
        </w:rPr>
        <w:t>社保</w:t>
      </w:r>
      <w:r>
        <w:rPr>
          <w:rFonts w:hint="eastAsia" w:ascii="仿宋_GB2312" w:hAnsi="仿宋_GB2312" w:cs="仿宋_GB2312"/>
          <w:szCs w:val="32"/>
        </w:rPr>
        <w:t>局</w:t>
      </w:r>
      <w:r>
        <w:rPr>
          <w:rFonts w:hint="eastAsia" w:ascii="仿宋_GB2312" w:hAnsi="仿宋_GB2312" w:eastAsia="仿宋_GB2312" w:cs="仿宋_GB2312"/>
          <w:szCs w:val="32"/>
        </w:rPr>
        <w:t>职业年金启动投资运营前个人账户计息有关事项工作经费</w:t>
      </w:r>
      <w:r>
        <w:rPr>
          <w:rFonts w:hint="eastAsia" w:ascii="仿宋_GB2312" w:hAnsi="仿宋_GB2312" w:cs="仿宋_GB2312"/>
          <w:szCs w:val="32"/>
        </w:rPr>
        <w:t>项目，均在绩效领导小组的指导下，按照科室针对性的明确项目的绩效目标，并在现有的内控制度及财务制度下进行审批、开支。并定期跟进项目具体情况，制定项目的开展方向。</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pStyle w:val="2"/>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呈贡区社保局2021年，对于上划的职业年金个人账户计息资金，严格审批，杜绝了违规发放和超范围发放的情况。</w:t>
      </w:r>
    </w:p>
    <w:p>
      <w:pPr>
        <w:numPr>
          <w:ilvl w:val="0"/>
          <w:numId w:val="2"/>
        </w:numPr>
        <w:topLinePunct/>
        <w:ind w:firstLine="594" w:firstLineChars="200"/>
        <w:jc w:val="both"/>
        <w:rPr>
          <w:rFonts w:hint="eastAsia" w:ascii="仿宋_GB2312"/>
          <w:szCs w:val="32"/>
        </w:rPr>
      </w:pPr>
      <w:r>
        <w:rPr>
          <w:rFonts w:hint="eastAsia" w:ascii="仿宋_GB2312"/>
          <w:szCs w:val="32"/>
          <w:lang w:val="en-US" w:eastAsia="zh-CN"/>
        </w:rPr>
        <w:t>效益性</w:t>
      </w:r>
      <w:r>
        <w:rPr>
          <w:rFonts w:hint="eastAsia" w:ascii="仿宋_GB2312"/>
          <w:szCs w:val="32"/>
        </w:rPr>
        <w:t>分析，主要包括实施进度和完成质量。</w:t>
      </w:r>
    </w:p>
    <w:p>
      <w:pPr>
        <w:topLinePunct/>
        <w:ind w:firstLine="594" w:firstLineChars="200"/>
        <w:rPr>
          <w:rFonts w:hint="default" w:eastAsia="仿宋_GB2312"/>
          <w:lang w:val="en-US" w:eastAsia="zh-CN"/>
        </w:rPr>
      </w:pPr>
      <w:r>
        <w:rPr>
          <w:rFonts w:hint="eastAsia"/>
          <w:lang w:val="en-US" w:eastAsia="zh-CN"/>
        </w:rPr>
        <w:t xml:space="preserve"> 2021年区社保局</w:t>
      </w:r>
      <w:r>
        <w:rPr>
          <w:rFonts w:hint="eastAsia" w:ascii="仿宋_GB2312" w:eastAsia="仿宋_GB2312" w:hAnsiTheme="minorHAnsi" w:cstheme="minorBidi"/>
          <w:bCs w:val="0"/>
          <w:kern w:val="2"/>
          <w:sz w:val="32"/>
          <w:szCs w:val="32"/>
          <w:lang w:val="en-US" w:eastAsia="zh-CN" w:bidi="ar-SA"/>
        </w:rPr>
        <w:t>职业年金个人账户计息</w:t>
      </w:r>
      <w:r>
        <w:rPr>
          <w:rFonts w:hint="eastAsia" w:ascii="仿宋_GB2312" w:cstheme="minorBidi"/>
          <w:bCs w:val="0"/>
          <w:kern w:val="2"/>
          <w:sz w:val="32"/>
          <w:szCs w:val="32"/>
          <w:lang w:val="en-US" w:eastAsia="zh-CN" w:bidi="ar-SA"/>
        </w:rPr>
        <w:t>资金</w:t>
      </w:r>
      <w:r>
        <w:rPr>
          <w:rFonts w:hint="eastAsia" w:ascii="仿宋_GB2312" w:hAnsi="宋体"/>
        </w:rPr>
        <w:t>收支工作，都严格按照业务期限，按时足额进行</w:t>
      </w:r>
      <w:r>
        <w:rPr>
          <w:rFonts w:hint="eastAsia" w:ascii="仿宋_GB2312" w:hAnsi="宋体"/>
          <w:lang w:val="en-US" w:eastAsia="zh-CN"/>
        </w:rPr>
        <w:t>支出</w:t>
      </w:r>
      <w:r>
        <w:rPr>
          <w:rFonts w:hint="eastAsia" w:ascii="仿宋_GB2312" w:hAnsi="宋体"/>
        </w:rPr>
        <w:t>，</w:t>
      </w:r>
      <w:r>
        <w:rPr>
          <w:rFonts w:hint="eastAsia" w:ascii="仿宋_GB2312"/>
          <w:szCs w:val="32"/>
          <w:lang w:val="en-US" w:eastAsia="zh-CN"/>
        </w:rPr>
        <w:t>维护了参保人员切身利益，保障了省级部门顺利投资运营职业年金，促进了职业年金制度的正常运行。</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hint="eastAsia"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局将在现有的制度下，继续针对性的对</w:t>
      </w:r>
      <w:r>
        <w:rPr>
          <w:rFonts w:hint="eastAsia" w:ascii="仿宋_GB2312"/>
          <w:szCs w:val="32"/>
          <w:lang w:val="en-US" w:eastAsia="zh-CN"/>
        </w:rPr>
        <w:t>各</w:t>
      </w:r>
      <w:r>
        <w:rPr>
          <w:rFonts w:hint="eastAsia" w:ascii="仿宋_GB2312"/>
          <w:szCs w:val="32"/>
        </w:rPr>
        <w:t>项目逐步制定资金管理办法。以确保开支各项目资金有依有据。</w:t>
      </w:r>
    </w:p>
    <w:p>
      <w:pPr>
        <w:topLinePunct/>
        <w:ind w:firstLine="594" w:firstLineChars="200"/>
        <w:rPr>
          <w:rFonts w:hint="eastAsia"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rPr>
        <w:t>资金分配方面的问题。资金分配是否合理，突出重点，公平公正；有无散小差现象；资金分配和使用方向是否与资金管理办法相符等。</w:t>
      </w:r>
    </w:p>
    <w:p>
      <w:pPr>
        <w:topLinePunct/>
        <w:ind w:firstLine="594" w:firstLineChars="200"/>
        <w:rPr>
          <w:rFonts w:hint="eastAsia"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局各项目资金分配合理，公平公正；无散小差现象；资金分配和使用方向与资金管理办法相符。</w:t>
      </w:r>
    </w:p>
    <w:p>
      <w:pPr>
        <w:topLinePunct/>
        <w:ind w:firstLine="594" w:firstLineChars="20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资金拨付方面的问题。拨付是否及时，有无滞留、闲置等现象。</w:t>
      </w:r>
    </w:p>
    <w:p>
      <w:pPr>
        <w:topLinePunct/>
        <w:ind w:firstLine="594" w:firstLineChars="200"/>
        <w:rPr>
          <w:rFonts w:hint="eastAsia"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局根据政策和经办业务要求，及时向财政申请拨付经费，在收到经费后拨付及时，无滞留、闲置等现象。</w:t>
      </w:r>
    </w:p>
    <w:p>
      <w:pPr>
        <w:topLinePunct/>
        <w:ind w:firstLine="594" w:firstLineChars="20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四）</w:t>
      </w:r>
      <w:r>
        <w:rPr>
          <w:rFonts w:hint="eastAsia" w:ascii="仿宋_GB2312"/>
          <w:szCs w:val="32"/>
          <w:lang w:eastAsia="zh-CN"/>
        </w:rPr>
        <w:t>资金使用方面的问题。资金使用是否合规，有无截留、挪用等现象，资金使用是否产生效益等。</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局资金使用合规，无截留、挪用等现象，资金使用产生一定的社会效益等。</w:t>
      </w:r>
    </w:p>
    <w:p>
      <w:pPr>
        <w:numPr>
          <w:ilvl w:val="0"/>
          <w:numId w:val="3"/>
        </w:numPr>
        <w:topLinePunct/>
        <w:ind w:firstLine="594" w:firstLineChars="200"/>
        <w:rPr>
          <w:rFonts w:hint="eastAsia" w:ascii="黑体" w:eastAsia="黑体"/>
          <w:szCs w:val="32"/>
        </w:rPr>
      </w:pPr>
      <w:r>
        <w:rPr>
          <w:rFonts w:hint="eastAsia" w:ascii="黑体" w:eastAsia="黑体"/>
          <w:szCs w:val="32"/>
        </w:rPr>
        <w:t>其他需要说明的问题</w:t>
      </w:r>
    </w:p>
    <w:p>
      <w:pPr>
        <w:numPr>
          <w:numId w:val="0"/>
        </w:numPr>
        <w:topLinePunct/>
        <w:ind w:firstLine="1485" w:firstLineChars="500"/>
        <w:rPr>
          <w:rFonts w:hint="default" w:ascii="黑体" w:eastAsia="黑体"/>
          <w:szCs w:val="32"/>
          <w:lang w:val="en-US" w:eastAsia="zh-CN"/>
        </w:rPr>
      </w:pPr>
      <w:r>
        <w:rPr>
          <w:rFonts w:hint="eastAsia" w:ascii="黑体" w:eastAsia="黑体"/>
          <w:szCs w:val="32"/>
          <w:lang w:val="en-US" w:eastAsia="zh-CN"/>
        </w:rPr>
        <w:t>无</w:t>
      </w: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6E5D6"/>
    <w:multiLevelType w:val="singleLevel"/>
    <w:tmpl w:val="8C06E5D6"/>
    <w:lvl w:ilvl="0" w:tentative="0">
      <w:start w:val="6"/>
      <w:numFmt w:val="chineseCounting"/>
      <w:suff w:val="nothing"/>
      <w:lvlText w:val="%1、"/>
      <w:lvlJc w:val="left"/>
      <w:rPr>
        <w:rFonts w:hint="eastAsia"/>
      </w:rPr>
    </w:lvl>
  </w:abstractNum>
  <w:abstractNum w:abstractNumId="1">
    <w:nsid w:val="A38A890C"/>
    <w:multiLevelType w:val="singleLevel"/>
    <w:tmpl w:val="A38A890C"/>
    <w:lvl w:ilvl="0" w:tentative="0">
      <w:start w:val="2"/>
      <w:numFmt w:val="chineseCounting"/>
      <w:suff w:val="nothing"/>
      <w:lvlText w:val="（%1）"/>
      <w:lvlJc w:val="left"/>
      <w:rPr>
        <w:rFonts w:hint="eastAsia"/>
      </w:rPr>
    </w:lvl>
  </w:abstractNum>
  <w:abstractNum w:abstractNumId="2">
    <w:nsid w:val="EFDF32D9"/>
    <w:multiLevelType w:val="singleLevel"/>
    <w:tmpl w:val="EFDF32D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66F35"/>
    <w:rsid w:val="05AE36CA"/>
    <w:rsid w:val="378A5996"/>
    <w:rsid w:val="54B55919"/>
    <w:rsid w:val="5A3C6978"/>
    <w:rsid w:val="62587069"/>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overflowPunct w:val="0"/>
      <w:spacing w:line="560" w:lineRule="exact"/>
      <w:ind w:firstLine="641"/>
      <w:outlineLvl w:val="1"/>
    </w:pPr>
    <w:rPr>
      <w:rFonts w:ascii="Cambria" w:hAnsi="Cambria" w:eastAsia="楷体_GB2312" w:cs="Times New Roman"/>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2022-03-17T02:14:21Z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A2A584EC681A4E569B925D9A213023D6</vt:lpwstr>
  </property>
</Properties>
</file>