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_GBK" w:eastAsia="方正小标宋_GBK"/>
          <w:sz w:val="44"/>
          <w:szCs w:val="44"/>
        </w:rPr>
      </w:pPr>
      <w:r>
        <w:rPr>
          <w:rFonts w:hint="eastAsia" w:ascii="方正小标宋_GBK" w:eastAsia="方正小标宋_GBK"/>
          <w:sz w:val="44"/>
          <w:szCs w:val="44"/>
        </w:rPr>
        <w:t>项目支出绩效报告（市网格中心呈贡分中心）</w:t>
      </w:r>
    </w:p>
    <w:p>
      <w:pPr>
        <w:keepNext w:val="0"/>
        <w:keepLines w:val="0"/>
        <w:pageBreakBefore w:val="0"/>
        <w:widowControl w:val="0"/>
        <w:kinsoku/>
        <w:wordWrap/>
        <w:overflowPunct/>
        <w:autoSpaceDE/>
        <w:autoSpaceDN/>
        <w:bidi w:val="0"/>
        <w:adjustRightInd/>
        <w:snapToGrid/>
        <w:spacing w:line="560" w:lineRule="exact"/>
        <w:ind w:left="0" w:leftChars="0" w:firstLine="594" w:firstLineChars="200"/>
        <w:jc w:val="both"/>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2021年年初预算5个项目，预算批复13227126元，项目主要围绕网格化案件处理而设定，也是单位主要职能，2021年最终决算项目执行14022665元，项目执行7个，追加项目2个，调增城市网格化管理信息采集工作经费885084元，增加全面推进五进网格精细化管理经费177352元。具体开展情况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全面推进“五进网格”精细化管理经费预算：5345800元，实际支付：5468452元，执行率102.29%，10月预算调增177352元，由于年初预算数是11个月经费，后续追加1个月。项目主要负责通过普查，进一步摸清城市管理公共部件状况，整合城市部件管理信息资源，建立数据库实现资源共享；明确地理信息权属单位及具体位置，落实部件维护保障责任主体，提高地理信息问题处置解决效率。</w:t>
      </w:r>
    </w:p>
    <w:p>
      <w:pPr>
        <w:keepNext w:val="0"/>
        <w:keepLines w:val="0"/>
        <w:pageBreakBefore w:val="0"/>
        <w:widowControl w:val="0"/>
        <w:numPr>
          <w:numId w:val="0"/>
        </w:numPr>
        <w:kinsoku/>
        <w:wordWrap/>
        <w:overflow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网格化管理信息采集(原城管监督员市场化服务外包经费）预算：6609580元，实际完成：6606370元，执行率99.95%，10月预算追加885084元，追加1月信息采集经费，由于年初预算只预算11个月经费，主要负责全区范围内的网格化管理信息采集，建立健全呈贡区信息系统。</w:t>
      </w:r>
    </w:p>
    <w:p>
      <w:pPr>
        <w:keepNext w:val="0"/>
        <w:keepLines w:val="0"/>
        <w:pageBreakBefore w:val="0"/>
        <w:widowControl w:val="0"/>
        <w:numPr>
          <w:numId w:val="0"/>
        </w:numPr>
        <w:kinsoku/>
        <w:wordWrap/>
        <w:overflow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城市网格化管理系统运维及网格案件处置经费预算795790元，实际完成目标：740010元，执行率：92.99%，主要用于全区范围内权属不清、存在安全隐患的部件设施进行维护，确保市民的正常出行。</w:t>
      </w:r>
    </w:p>
    <w:p>
      <w:pPr>
        <w:keepNext w:val="0"/>
        <w:keepLines w:val="0"/>
        <w:pageBreakBefore w:val="0"/>
        <w:widowControl w:val="0"/>
        <w:numPr>
          <w:numId w:val="0"/>
        </w:numPr>
        <w:kinsoku/>
        <w:wordWrap/>
        <w:overflow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网格化管理宣传教育及服务工作经费预算140000元，目标完成41865元，执行率：29.9%，主要通过广泛宣传教育培训让网格化工作这一新兴的城市管理新模式得到社会各界的广泛认知，通过监督员、座席平台、处置人员的业务培训及轮训，提高城市管理智能化、精细化水平。由于疫情，外部培训没有开展。</w:t>
      </w:r>
    </w:p>
    <w:p>
      <w:pPr>
        <w:keepNext w:val="0"/>
        <w:keepLines w:val="0"/>
        <w:pageBreakBefore w:val="0"/>
        <w:widowControl w:val="0"/>
        <w:numPr>
          <w:numId w:val="0"/>
        </w:numPr>
        <w:kinsoku/>
        <w:wordWrap/>
        <w:overflowPunct/>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rPr>
        <w:t>呈贡区“党建引领、五级联动、吹哨报到”综合指挥系统服务经费预算335956元，实际完成103532元，执行率30.82%，主要完成并应用吹哨报到应用系统平台桌面端及移动端开发、城市网格化管理辅助决策及考核平台开发、基础软件部署，由于系统开发进度慢，没有验收第二笔进度款没付，推迟到第二年支付。</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2021年年度目标根据年初预算布置，会议讨论，根据年度目标分解设定绩效目标，在不断执行，不断调整，不断讨论中完成各项目标，大体目标全部达成，小项目标存在部分未完成情况。</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黑体" w:eastAsia="黑体"/>
          <w:szCs w:val="32"/>
        </w:rPr>
      </w:pPr>
      <w:r>
        <w:rPr>
          <w:rFonts w:hint="eastAsia" w:ascii="黑体" w:eastAsia="黑体"/>
          <w:szCs w:val="32"/>
        </w:rPr>
        <w:t>二、项目资金使用及管理情况</w:t>
      </w:r>
    </w:p>
    <w:p>
      <w:pPr>
        <w:keepNext w:val="0"/>
        <w:keepLines w:val="0"/>
        <w:pageBreakBefore w:val="0"/>
        <w:widowControl w:val="0"/>
        <w:kinsoku/>
        <w:wordWrap/>
        <w:overflow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2021年预算批复5个项目，预算金额：</w:t>
      </w:r>
      <w:r>
        <w:rPr>
          <w:rFonts w:ascii="仿宋_GB2312"/>
          <w:szCs w:val="32"/>
        </w:rPr>
        <w:t>13227126</w:t>
      </w:r>
      <w:r>
        <w:rPr>
          <w:rFonts w:hint="eastAsia" w:ascii="仿宋_GB2312"/>
          <w:szCs w:val="32"/>
        </w:rPr>
        <w:t>元，其中一般公共财政预算</w:t>
      </w:r>
      <w:r>
        <w:rPr>
          <w:rFonts w:ascii="仿宋_GB2312"/>
          <w:szCs w:val="32"/>
        </w:rPr>
        <w:t>13227126</w:t>
      </w:r>
      <w:r>
        <w:rPr>
          <w:rFonts w:hint="eastAsia" w:ascii="仿宋_GB2312"/>
          <w:szCs w:val="32"/>
        </w:rPr>
        <w:t>元。</w:t>
      </w:r>
    </w:p>
    <w:p>
      <w:pPr>
        <w:keepNext w:val="0"/>
        <w:keepLines w:val="0"/>
        <w:pageBreakBefore w:val="0"/>
        <w:widowControl w:val="0"/>
        <w:kinsoku/>
        <w:wordWrap/>
        <w:overflow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2021年实际执行</w:t>
      </w:r>
      <w:r>
        <w:rPr>
          <w:rFonts w:ascii="仿宋_GB2312"/>
          <w:szCs w:val="32"/>
        </w:rPr>
        <w:t>14022665</w:t>
      </w:r>
      <w:r>
        <w:rPr>
          <w:rFonts w:hint="eastAsia" w:ascii="仿宋_GB2312"/>
          <w:szCs w:val="32"/>
        </w:rPr>
        <w:t>元，一般公共财政预算收入为：</w:t>
      </w:r>
      <w:r>
        <w:rPr>
          <w:rFonts w:ascii="仿宋_GB2312"/>
          <w:szCs w:val="32"/>
        </w:rPr>
        <w:t>14022665</w:t>
      </w:r>
      <w:r>
        <w:rPr>
          <w:rFonts w:hint="eastAsia" w:ascii="仿宋_GB2312"/>
          <w:szCs w:val="32"/>
        </w:rPr>
        <w:t>元，调增项目2个，调增115653.01元。</w:t>
      </w:r>
    </w:p>
    <w:p>
      <w:pPr>
        <w:keepNext w:val="0"/>
        <w:keepLines w:val="0"/>
        <w:pageBreakBefore w:val="0"/>
        <w:widowControl w:val="0"/>
        <w:kinsoku/>
        <w:wordWrap/>
        <w:overflow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2021年项目资金执行情况良好，资金专款专用，不存在挪用与占用的情况，根据项目实际开展情况，按进度开展，年终略有结余，由财政全部收回清零。</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黑体" w:eastAsia="黑体"/>
          <w:szCs w:val="32"/>
        </w:rPr>
      </w:pPr>
      <w:r>
        <w:rPr>
          <w:rFonts w:hint="eastAsia" w:ascii="黑体" w:eastAsia="黑体"/>
          <w:szCs w:val="32"/>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hAns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hAnsi="仿宋_GB2312" w:cs="仿宋_GB2312"/>
          <w:szCs w:val="32"/>
        </w:rPr>
      </w:pPr>
      <w:r>
        <w:rPr>
          <w:rFonts w:hint="eastAsia" w:ascii="仿宋_GB2312" w:hAnsi="仿宋_GB2312" w:cs="仿宋_GB2312"/>
          <w:szCs w:val="32"/>
        </w:rPr>
        <w:t>2021年市网格中心呈贡分中心没有涉及到招投标项目，信息采购招投标工作二年投标一次，工程类项目没有，本单位还需要加强外包服务人员工作日常检查与监督管理。</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黑体" w:eastAsia="黑体"/>
          <w:szCs w:val="32"/>
        </w:rPr>
      </w:pPr>
      <w:r>
        <w:rPr>
          <w:rFonts w:hint="eastAsia" w:ascii="黑体" w:eastAsia="黑体"/>
          <w:szCs w:val="32"/>
        </w:rPr>
        <w:t>四、项目绩效情况</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从项目的经济性来说，项目预算</w:t>
      </w:r>
      <w:r>
        <w:rPr>
          <w:rFonts w:ascii="仿宋_GB2312"/>
          <w:szCs w:val="32"/>
        </w:rPr>
        <w:t>13227126</w:t>
      </w:r>
      <w:r>
        <w:rPr>
          <w:rFonts w:hint="eastAsia" w:ascii="仿宋_GB2312"/>
          <w:szCs w:val="32"/>
        </w:rPr>
        <w:t>元，实际执行</w:t>
      </w:r>
      <w:r>
        <w:rPr>
          <w:rFonts w:ascii="仿宋_GB2312"/>
          <w:szCs w:val="32"/>
        </w:rPr>
        <w:t>14022665</w:t>
      </w:r>
      <w:r>
        <w:rPr>
          <w:rFonts w:hint="eastAsia" w:ascii="仿宋_GB2312"/>
          <w:szCs w:val="32"/>
        </w:rPr>
        <w:t>元，除宣传经费有所节约外，其它为硬性开支，无法节约。年初绩效目标基本达成，未存在未办或待办绩效指标。</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黑体" w:eastAsia="黑体"/>
          <w:szCs w:val="32"/>
        </w:rPr>
      </w:pPr>
      <w:r>
        <w:rPr>
          <w:rFonts w:hint="eastAsia" w:ascii="黑体" w:eastAsia="黑体"/>
          <w:szCs w:val="32"/>
        </w:rPr>
        <w:t>五、存在的问题</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2021年全部项目专项目标、特定用途，专款专用，按需供给资金，不占用，不挪用，使用规范理。</w:t>
      </w:r>
    </w:p>
    <w:p>
      <w:pPr>
        <w:keepNext w:val="0"/>
        <w:keepLines w:val="0"/>
        <w:pageBreakBefore w:val="0"/>
        <w:widowControl w:val="0"/>
        <w:numPr>
          <w:numId w:val="0"/>
        </w:numPr>
        <w:kinsoku/>
        <w:wordWrap/>
        <w:overflowPunct/>
        <w:topLinePunct/>
        <w:autoSpaceDE/>
        <w:autoSpaceDN/>
        <w:bidi w:val="0"/>
        <w:adjustRightInd/>
        <w:snapToGrid/>
        <w:spacing w:line="560" w:lineRule="exact"/>
        <w:ind w:leftChars="200"/>
        <w:jc w:val="both"/>
        <w:textAlignment w:val="auto"/>
        <w:rPr>
          <w:rFonts w:ascii="仿宋_GB2312"/>
          <w:szCs w:val="32"/>
        </w:rPr>
      </w:pPr>
      <w:r>
        <w:rPr>
          <w:rFonts w:hint="eastAsia" w:ascii="仿宋_GB2312"/>
          <w:szCs w:val="32"/>
          <w:lang w:eastAsia="zh-CN"/>
        </w:rPr>
        <w:t>（</w:t>
      </w:r>
      <w:r>
        <w:rPr>
          <w:rFonts w:hint="eastAsia" w:ascii="仿宋_GB2312"/>
          <w:szCs w:val="32"/>
          <w:lang w:val="en-US" w:eastAsia="zh-CN"/>
        </w:rPr>
        <w:t>二</w:t>
      </w:r>
      <w:r>
        <w:rPr>
          <w:rFonts w:hint="eastAsia" w:ascii="仿宋_GB2312"/>
          <w:szCs w:val="32"/>
          <w:lang w:eastAsia="zh-CN"/>
        </w:rPr>
        <w:t>）</w:t>
      </w:r>
      <w:r>
        <w:rPr>
          <w:rFonts w:hint="eastAsia" w:ascii="仿宋_GB2312"/>
          <w:szCs w:val="32"/>
        </w:rPr>
        <w:t>资金分配方面的问题。</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2021年项目资金按年初预算安排、分解，重点项目重点跟踪、评价、考核，公开公示，无散、小项目情况，资金谁使用，谁负责、责任清晰，资金方向与年初一致，无偏移。</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资金拨付方面的问题。</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资金拔付采购谁使用谁申请的原则，由业务科室按月做用款计划，经区政府、区财政审批后使用，单据齐全、手续齐全后及时拔付。</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资金使用方面的问题。</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2021年小额资金使用按正常财务收支制度执行，重点项目资金，主任办公会讨论及区政府、区财政请示后开展使用，无截留、挪用等现象。</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黑体" w:eastAsia="黑体"/>
          <w:szCs w:val="32"/>
        </w:rPr>
      </w:pPr>
      <w:r>
        <w:rPr>
          <w:rFonts w:hint="eastAsia" w:ascii="黑体" w:eastAsia="黑体"/>
          <w:szCs w:val="32"/>
        </w:rPr>
        <w:t>六、其他需要说明的问题</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1、加强人员管理、减少人员流动率</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2、提升人员业务能力与水平</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3、完善单位内部制度</w:t>
      </w:r>
    </w:p>
    <w:p>
      <w:pPr>
        <w:keepNext w:val="0"/>
        <w:keepLines w:val="0"/>
        <w:pageBreakBefore w:val="0"/>
        <w:widowControl w:val="0"/>
        <w:kinsoku/>
        <w:wordWrap/>
        <w:overflowPunct/>
        <w:topLinePunct/>
        <w:autoSpaceDE/>
        <w:autoSpaceDN/>
        <w:bidi w:val="0"/>
        <w:adjustRightInd/>
        <w:snapToGrid/>
        <w:spacing w:line="560" w:lineRule="exact"/>
        <w:ind w:left="0" w:leftChars="0" w:firstLine="594" w:firstLineChars="200"/>
        <w:jc w:val="both"/>
        <w:textAlignment w:val="auto"/>
        <w:rPr>
          <w:rFonts w:ascii="仿宋_GB2312"/>
          <w:szCs w:val="32"/>
        </w:rPr>
      </w:pPr>
      <w:r>
        <w:rPr>
          <w:rFonts w:hint="eastAsia" w:ascii="仿宋_GB2312"/>
          <w:szCs w:val="32"/>
        </w:rPr>
        <w:t>（二）主要经验做法、改进措施和有关建议等。</w:t>
      </w:r>
    </w:p>
    <w:p>
      <w:pPr>
        <w:keepNext w:val="0"/>
        <w:keepLines w:val="0"/>
        <w:pageBreakBefore w:val="0"/>
        <w:widowControl w:val="0"/>
        <w:kinsoku/>
        <w:wordWrap/>
        <w:overflowPunct/>
        <w:autoSpaceDE/>
        <w:autoSpaceDN/>
        <w:bidi w:val="0"/>
        <w:adjustRightInd/>
        <w:snapToGrid/>
        <w:spacing w:line="560" w:lineRule="exact"/>
        <w:ind w:left="0" w:leftChars="0" w:firstLine="594" w:firstLineChars="200"/>
        <w:jc w:val="both"/>
        <w:textAlignment w:val="auto"/>
      </w:pPr>
      <w:bookmarkStart w:id="0" w:name="_GoBack"/>
      <w:bookmarkEnd w:id="0"/>
      <w:r>
        <w:rPr>
          <w:rFonts w:hint="eastAsia"/>
        </w:rPr>
        <w:t>1、管理好人，带动人员积极性</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3A73D"/>
    <w:multiLevelType w:val="singleLevel"/>
    <w:tmpl w:val="7173A7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48"/>
  <w:drawingGridVerticalSpacing w:val="30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NjMWI1N2NkODcyZTI5NDI3ZTlhMDQ0NGM1MTkyYWQifQ=="/>
  </w:docVars>
  <w:rsids>
    <w:rsidRoot w:val="0023760E"/>
    <w:rsid w:val="00016263"/>
    <w:rsid w:val="00235A2E"/>
    <w:rsid w:val="0023760E"/>
    <w:rsid w:val="0024384B"/>
    <w:rsid w:val="002B7A45"/>
    <w:rsid w:val="004753BC"/>
    <w:rsid w:val="00494915"/>
    <w:rsid w:val="00542183"/>
    <w:rsid w:val="005B2348"/>
    <w:rsid w:val="00822C3E"/>
    <w:rsid w:val="00841653"/>
    <w:rsid w:val="0095068A"/>
    <w:rsid w:val="009A62E9"/>
    <w:rsid w:val="009F327D"/>
    <w:rsid w:val="00CA1825"/>
    <w:rsid w:val="00E355E4"/>
    <w:rsid w:val="00F13D7C"/>
    <w:rsid w:val="00F25789"/>
    <w:rsid w:val="014C06B4"/>
    <w:rsid w:val="037F5AB9"/>
    <w:rsid w:val="05AE36CA"/>
    <w:rsid w:val="0B5E4585"/>
    <w:rsid w:val="0E135E7B"/>
    <w:rsid w:val="0FC62731"/>
    <w:rsid w:val="12C0142E"/>
    <w:rsid w:val="141A47E1"/>
    <w:rsid w:val="18811CC3"/>
    <w:rsid w:val="1E8831C4"/>
    <w:rsid w:val="251C30B9"/>
    <w:rsid w:val="251E7009"/>
    <w:rsid w:val="27AC7D17"/>
    <w:rsid w:val="2A4C528E"/>
    <w:rsid w:val="33DC1707"/>
    <w:rsid w:val="36576B01"/>
    <w:rsid w:val="378A5996"/>
    <w:rsid w:val="3ECD13C9"/>
    <w:rsid w:val="3F70195F"/>
    <w:rsid w:val="46243A27"/>
    <w:rsid w:val="46D4179C"/>
    <w:rsid w:val="4FF72F70"/>
    <w:rsid w:val="5840098C"/>
    <w:rsid w:val="5A3C6978"/>
    <w:rsid w:val="5A514EF5"/>
    <w:rsid w:val="5EAD190A"/>
    <w:rsid w:val="5F1F25C9"/>
    <w:rsid w:val="5F914A96"/>
    <w:rsid w:val="631F35B4"/>
    <w:rsid w:val="67600811"/>
    <w:rsid w:val="6A9E7EFE"/>
    <w:rsid w:val="6C207323"/>
    <w:rsid w:val="6D8A5CBE"/>
    <w:rsid w:val="72751783"/>
    <w:rsid w:val="755E65D1"/>
    <w:rsid w:val="758D17E9"/>
    <w:rsid w:val="79363EF4"/>
    <w:rsid w:val="79B17049"/>
    <w:rsid w:val="79D0120A"/>
    <w:rsid w:val="7B0D0ABD"/>
    <w:rsid w:val="7E5B19FB"/>
    <w:rsid w:val="7EFF29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uiPriority w:val="99"/>
    <w:pPr>
      <w:ind w:firstLine="420" w:firstLineChars="200"/>
    </w:pPr>
  </w:style>
  <w:style w:type="character" w:customStyle="1" w:styleId="8">
    <w:name w:val="页眉 Char"/>
    <w:basedOn w:val="6"/>
    <w:link w:val="4"/>
    <w:uiPriority w:val="0"/>
    <w:rPr>
      <w:rFonts w:eastAsia="仿宋_GB2312" w:asciiTheme="minorHAnsi" w:hAnsiTheme="minorHAnsi" w:cstheme="minorBidi"/>
      <w:kern w:val="2"/>
      <w:sz w:val="18"/>
      <w:szCs w:val="18"/>
    </w:rPr>
  </w:style>
  <w:style w:type="character" w:customStyle="1" w:styleId="9">
    <w:name w:val="页脚 Char"/>
    <w:basedOn w:val="6"/>
    <w:link w:val="3"/>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1658</Words>
  <Characters>1854</Characters>
  <Lines>13</Lines>
  <Paragraphs>3</Paragraphs>
  <TotalTime>97</TotalTime>
  <ScaleCrop>false</ScaleCrop>
  <LinksUpToDate>false</LinksUpToDate>
  <CharactersWithSpaces>1857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陌</cp:lastModifiedBy>
  <dcterms:modified xsi:type="dcterms:W3CDTF">2022-09-27T01:42:28Z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788F35E0163B4B7A8434F177A673746A</vt:lpwstr>
  </property>
</Properties>
</file>