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right="382" w:rightChars="182" w:firstLine="210" w:firstLineChars="100"/>
        <w:jc w:val="center"/>
        <w:rPr>
          <w:bCs/>
          <w:color w:val="000000"/>
        </w:rPr>
      </w:pPr>
      <w:bookmarkStart w:id="0" w:name="_GoBack"/>
      <w:bookmarkEnd w:id="0"/>
    </w:p>
    <w:p>
      <w:pPr>
        <w:spacing w:line="300" w:lineRule="exact"/>
        <w:ind w:right="382" w:rightChars="182" w:firstLine="210" w:firstLineChars="100"/>
        <w:jc w:val="center"/>
        <w:rPr>
          <w:bCs/>
          <w:color w:val="000000"/>
        </w:rPr>
      </w:pPr>
    </w:p>
    <w:p>
      <w:pPr>
        <w:spacing w:line="300" w:lineRule="exact"/>
        <w:ind w:right="382" w:rightChars="182" w:firstLine="210" w:firstLineChars="100"/>
        <w:jc w:val="center"/>
        <w:rPr>
          <w:bCs/>
          <w:color w:val="000000"/>
        </w:rPr>
      </w:pPr>
    </w:p>
    <w:p>
      <w:pPr>
        <w:spacing w:line="300" w:lineRule="exact"/>
        <w:ind w:right="382" w:rightChars="182"/>
        <w:jc w:val="both"/>
        <w:rPr>
          <w:bCs/>
          <w:color w:val="000000"/>
        </w:rPr>
      </w:pPr>
    </w:p>
    <w:p>
      <w:pPr>
        <w:keepNext w:val="0"/>
        <w:keepLines w:val="0"/>
        <w:pageBreakBefore w:val="0"/>
        <w:widowControl w:val="0"/>
        <w:kinsoku/>
        <w:wordWrap/>
        <w:overflowPunct/>
        <w:topLinePunct w:val="0"/>
        <w:autoSpaceDE/>
        <w:autoSpaceDN/>
        <w:bidi w:val="0"/>
        <w:adjustRightInd/>
        <w:snapToGrid/>
        <w:spacing w:line="240" w:lineRule="auto"/>
        <w:ind w:right="382" w:rightChars="182"/>
        <w:textAlignment w:val="auto"/>
        <w:rPr>
          <w:bCs/>
          <w:color w:val="000000"/>
          <w:spacing w:val="-60"/>
          <w:sz w:val="21"/>
          <w:szCs w:val="22"/>
        </w:rPr>
      </w:pPr>
    </w:p>
    <w:p>
      <w:pPr>
        <w:jc w:val="center"/>
        <w:rPr>
          <w:rFonts w:hint="eastAsia" w:eastAsia="方正小标宋简体"/>
          <w:bCs/>
          <w:color w:val="000000"/>
          <w:sz w:val="120"/>
          <w:szCs w:val="120"/>
          <w:lang w:val="en-US" w:eastAsia="zh-CN"/>
        </w:rPr>
      </w:pPr>
      <w:r>
        <w:rPr>
          <w:rFonts w:eastAsia="方正小标宋简体"/>
          <w:color w:val="FF0000"/>
          <w:spacing w:val="1"/>
          <w:w w:val="42"/>
          <w:kern w:val="0"/>
          <w:sz w:val="120"/>
          <w:szCs w:val="120"/>
          <w:fitText w:val="8734" w:id="0"/>
        </w:rPr>
        <w:t>昆明呈贡信息产业园区管理委员会</w:t>
      </w:r>
      <w:r>
        <w:rPr>
          <w:rFonts w:hint="eastAsia" w:eastAsia="方正小标宋简体"/>
          <w:color w:val="FF0000"/>
          <w:spacing w:val="1"/>
          <w:w w:val="42"/>
          <w:kern w:val="0"/>
          <w:sz w:val="120"/>
          <w:szCs w:val="120"/>
          <w:fitText w:val="8734" w:id="0"/>
          <w:lang w:val="en-US" w:eastAsia="zh-CN"/>
        </w:rPr>
        <w:t>文</w:t>
      </w:r>
      <w:r>
        <w:rPr>
          <w:rFonts w:hint="eastAsia" w:eastAsia="方正小标宋简体"/>
          <w:color w:val="FF0000"/>
          <w:spacing w:val="128"/>
          <w:w w:val="42"/>
          <w:kern w:val="0"/>
          <w:sz w:val="120"/>
          <w:szCs w:val="120"/>
          <w:fitText w:val="8734" w:id="0"/>
          <w:lang w:val="en-US" w:eastAsia="zh-CN"/>
        </w:rPr>
        <w:t>件</w:t>
      </w:r>
    </w:p>
    <w:p>
      <w:pPr>
        <w:spacing w:line="300" w:lineRule="exact"/>
        <w:ind w:right="382" w:rightChars="182"/>
        <w:rPr>
          <w:bCs/>
          <w:color w:val="000000"/>
        </w:rPr>
      </w:pPr>
    </w:p>
    <w:p>
      <w:pPr>
        <w:spacing w:line="300" w:lineRule="exact"/>
        <w:ind w:right="382" w:rightChars="182" w:firstLine="210" w:firstLineChars="100"/>
        <w:jc w:val="center"/>
        <w:rPr>
          <w:bCs/>
          <w:color w:val="000000"/>
        </w:rPr>
      </w:pPr>
    </w:p>
    <w:p>
      <w:pPr>
        <w:spacing w:line="300" w:lineRule="exact"/>
        <w:ind w:right="382" w:rightChars="182" w:firstLine="210" w:firstLineChars="100"/>
        <w:jc w:val="center"/>
        <w:rPr>
          <w:bCs/>
          <w:color w:val="000000"/>
        </w:rPr>
      </w:pPr>
    </w:p>
    <w:p>
      <w:pPr>
        <w:ind w:left="709" w:right="248" w:rightChars="118" w:hanging="567"/>
        <w:rPr>
          <w:rFonts w:hint="eastAsia" w:ascii="仿宋_GB2312" w:eastAsia="仿宋_GB2312"/>
          <w:bCs/>
          <w:color w:val="000000"/>
          <w:sz w:val="32"/>
          <w:szCs w:val="32"/>
          <w:lang w:eastAsia="zh-CN"/>
        </w:rPr>
      </w:pPr>
      <w:r>
        <w:rPr>
          <w:rFonts w:hint="default" w:ascii="Times New Roman" w:hAnsi="Times New Roman" w:eastAsia="仿宋_GB2312" w:cs="Times New Roman"/>
          <w:bCs/>
          <w:color w:val="000000"/>
          <w:sz w:val="32"/>
          <w:szCs w:val="32"/>
        </w:rPr>
        <w:t>呈信</w:t>
      </w:r>
      <w:r>
        <w:rPr>
          <w:rFonts w:hint="eastAsia" w:ascii="Times New Roman" w:hAnsi="Times New Roman" w:eastAsia="仿宋_GB2312" w:cs="Times New Roman"/>
          <w:bCs/>
          <w:color w:val="000000"/>
          <w:sz w:val="32"/>
          <w:szCs w:val="32"/>
          <w:lang w:val="en-US" w:eastAsia="zh-CN"/>
        </w:rPr>
        <w:t>报</w:t>
      </w:r>
      <w:r>
        <w:rPr>
          <w:rFonts w:hint="default" w:ascii="Times New Roman" w:hAnsi="Times New Roman" w:eastAsia="仿宋_GB2312" w:cs="Times New Roman"/>
          <w:bCs/>
          <w:color w:val="000000"/>
          <w:sz w:val="32"/>
          <w:szCs w:val="32"/>
        </w:rPr>
        <w:t>〔20</w:t>
      </w:r>
      <w:r>
        <w:rPr>
          <w:rFonts w:hint="default" w:ascii="Times New Roman" w:hAnsi="Times New Roman" w:eastAsia="仿宋_GB2312" w:cs="Times New Roman"/>
          <w:bCs/>
          <w:color w:val="000000"/>
          <w:sz w:val="32"/>
          <w:szCs w:val="32"/>
          <w:lang w:val="en-US" w:eastAsia="zh-CN"/>
        </w:rPr>
        <w:t>2</w:t>
      </w:r>
      <w:r>
        <w:rPr>
          <w:rFonts w:hint="eastAsia"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w:t>
      </w:r>
      <w:r>
        <w:rPr>
          <w:rFonts w:hint="eastAsia" w:eastAsia="仿宋_GB2312" w:cs="Times New Roman"/>
          <w:bCs/>
          <w:color w:val="000000"/>
          <w:sz w:val="32"/>
          <w:szCs w:val="32"/>
          <w:lang w:val="en-US" w:eastAsia="zh-CN"/>
        </w:rPr>
        <w:t>8</w:t>
      </w:r>
      <w:r>
        <w:rPr>
          <w:rFonts w:hint="default" w:ascii="Times New Roman" w:hAnsi="Times New Roman" w:eastAsia="仿宋_GB2312" w:cs="Times New Roman"/>
          <w:bCs/>
          <w:color w:val="000000"/>
          <w:sz w:val="32"/>
          <w:szCs w:val="32"/>
        </w:rPr>
        <w:t xml:space="preserve">号  </w:t>
      </w:r>
      <w:r>
        <w:rPr>
          <w:rFonts w:hint="eastAsia" w:ascii="仿宋_GB2312" w:eastAsia="仿宋_GB2312"/>
          <w:bCs/>
          <w:color w:val="000000"/>
          <w:sz w:val="32"/>
          <w:szCs w:val="32"/>
        </w:rPr>
        <w:t xml:space="preserve">               </w:t>
      </w:r>
      <w:r>
        <w:rPr>
          <w:rFonts w:ascii="仿宋_GB2312" w:eastAsia="仿宋_GB2312"/>
          <w:bCs/>
          <w:color w:val="000000"/>
          <w:sz w:val="32"/>
          <w:szCs w:val="32"/>
        </w:rPr>
        <w:t xml:space="preserve"> </w:t>
      </w:r>
      <w:r>
        <w:rPr>
          <w:rFonts w:hint="eastAsia" w:ascii="仿宋_GB2312" w:eastAsia="仿宋_GB2312"/>
          <w:bCs/>
          <w:color w:val="000000"/>
          <w:sz w:val="32"/>
          <w:szCs w:val="32"/>
        </w:rPr>
        <w:t>签发人：</w:t>
      </w:r>
      <w:r>
        <w:rPr>
          <w:rFonts w:hint="eastAsia" w:ascii="楷体" w:hAnsi="楷体" w:eastAsia="楷体" w:cs="楷体"/>
          <w:bCs/>
          <w:color w:val="000000"/>
          <w:sz w:val="32"/>
          <w:szCs w:val="32"/>
          <w:lang w:eastAsia="zh-CN"/>
        </w:rPr>
        <w:t>李剑峰</w:t>
      </w:r>
    </w:p>
    <w:p>
      <w:pPr>
        <w:ind w:right="233" w:rightChars="111"/>
        <w:rPr>
          <w:rFonts w:hint="eastAsia" w:ascii="仿宋_GB2312" w:eastAsia="仿宋_GB2312"/>
          <w:bCs/>
          <w:color w:val="000000"/>
          <w:sz w:val="32"/>
          <w:szCs w:val="32"/>
        </w:rPr>
      </w:pPr>
      <w:r>
        <w:rPr>
          <w:rFonts w:eastAsia="方正小标宋简体"/>
          <w:color w:val="FC0416"/>
          <w:spacing w:val="-20"/>
          <w:w w:val="55"/>
          <w:sz w:val="120"/>
          <w:szCs w:val="120"/>
        </w:rPr>
        <mc:AlternateContent>
          <mc:Choice Requires="wps">
            <w:drawing>
              <wp:anchor distT="0" distB="0" distL="114300" distR="114300" simplePos="0" relativeHeight="251658240" behindDoc="0" locked="0" layoutInCell="1" allowOverlap="1">
                <wp:simplePos x="0" y="0"/>
                <wp:positionH relativeFrom="column">
                  <wp:posOffset>-245110</wp:posOffset>
                </wp:positionH>
                <wp:positionV relativeFrom="paragraph">
                  <wp:posOffset>48895</wp:posOffset>
                </wp:positionV>
                <wp:extent cx="5769610" cy="33020"/>
                <wp:effectExtent l="0" t="6350" r="2540" b="17780"/>
                <wp:wrapNone/>
                <wp:docPr id="3" name="直接连接符 3"/>
                <wp:cNvGraphicFramePr/>
                <a:graphic xmlns:a="http://schemas.openxmlformats.org/drawingml/2006/main">
                  <a:graphicData uri="http://schemas.microsoft.com/office/word/2010/wordprocessingShape">
                    <wps:wsp>
                      <wps:cNvCnPr/>
                      <wps:spPr>
                        <a:xfrm flipV="1">
                          <a:off x="0" y="0"/>
                          <a:ext cx="5769610" cy="3302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3pt;margin-top:3.85pt;height:2.6pt;width:454.3pt;z-index:251658240;mso-width-relative:page;mso-height-relative:page;" filled="f" stroked="t" coordsize="21600,21600" o:gfxdata="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AaMnW&#10;AAAACAEAAA8AAAAAAAAAAQAgAAAAIgAAAGRycy9kb3ducmV2LnhtbFBLAQIUABQAAAAIAIdO4kB2&#10;38Py6QEAAKUDAAAOAAAAAAAAAAEAIAAAACUBAABkcnMvZTJvRG9jLnhtbFBLBQYAAAAABgAGAFkB&#10;AACA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22"/>
          <w:lang w:val="en-US" w:eastAsia="zh-CN"/>
        </w:rPr>
      </w:pPr>
      <w:r>
        <w:rPr>
          <w:rFonts w:hint="eastAsia" w:ascii="方正小标宋简体" w:hAnsi="方正小标宋简体" w:eastAsia="方正小标宋简体" w:cs="方正小标宋简体"/>
          <w:color w:val="auto"/>
          <w:sz w:val="44"/>
          <w:szCs w:val="22"/>
          <w:lang w:val="en-US" w:eastAsia="zh-CN"/>
        </w:rPr>
        <w:t>昆明呈贡信息产业园区管理委员会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22"/>
          <w:lang w:val="en-US" w:eastAsia="zh-CN"/>
        </w:rPr>
      </w:pPr>
      <w:r>
        <w:rPr>
          <w:rFonts w:hint="eastAsia" w:ascii="方正小标宋简体" w:hAnsi="方正小标宋简体" w:eastAsia="方正小标宋简体" w:cs="方正小标宋简体"/>
          <w:color w:val="auto"/>
          <w:sz w:val="44"/>
          <w:szCs w:val="22"/>
          <w:lang w:val="en-US" w:eastAsia="zh-CN"/>
        </w:rPr>
        <w:t>关于昆明市省级工业园区2018年至2021年财务收支审计有关问题的整改情况报告</w:t>
      </w:r>
    </w:p>
    <w:p>
      <w:pPr>
        <w:pStyle w:val="2"/>
        <w:rPr>
          <w:rFonts w:hint="default"/>
          <w:sz w:val="44"/>
          <w:szCs w:val="44"/>
          <w:lang w:val="en-US" w:eastAsia="zh-CN"/>
        </w:rPr>
      </w:pPr>
    </w:p>
    <w:p>
      <w:pPr>
        <w:keepNext w:val="0"/>
        <w:keepLines w:val="0"/>
        <w:pageBreakBefore w:val="0"/>
        <w:widowControl w:val="0"/>
        <w:kinsoku/>
        <w:wordWrap/>
        <w:overflowPunct/>
        <w:topLinePunct w:val="0"/>
        <w:bidi w:val="0"/>
        <w:adjustRightInd w:val="0"/>
        <w:snapToGrid/>
        <w:spacing w:line="560" w:lineRule="exact"/>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kern w:val="0"/>
          <w:sz w:val="32"/>
          <w:szCs w:val="22"/>
          <w:lang w:val="en-US" w:eastAsia="zh-CN"/>
        </w:rPr>
        <w:t>昆明市审计局：</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kern w:val="0"/>
          <w:sz w:val="32"/>
          <w:szCs w:val="22"/>
          <w:lang w:val="en-US" w:eastAsia="zh-CN"/>
        </w:rPr>
        <w:t>昆明呈贡信息产业园区管理委员会于2022年5月10日收到昆明市审计局《昆明市省级工业园区2018年至2021年财务收支审计的审计报告》（昆审报〔2022〕15号），根据审计报告相关内容，昆明呈贡信息产业园区管委会高度重视，由管委会主要负责同志牵头，管委会全体班子成员负责，坚持高位统筹、立行立改，逐项对照审计报告中反映的问题，认真分析研究，并进行整改，现将整改情况报告如下：</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一、关于预算执行和财政财务收支方面存在问题的整改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kern w:val="0"/>
          <w:sz w:val="32"/>
          <w:szCs w:val="22"/>
          <w:lang w:val="en-US" w:eastAsia="zh-CN"/>
        </w:rPr>
        <w:t>2022年5月24日，昆明呈贡信息产业园区管理委员会2022年第10次主任办公会议研究后，要求按规定上缴财政结余资金，财务部根据主任办公会会议精神及相关批复</w:t>
      </w:r>
      <w:r>
        <w:rPr>
          <w:rFonts w:hint="default" w:ascii="Times New Roman" w:hAnsi="Times New Roman" w:eastAsia="仿宋_GB2312" w:cs="Times New Roman"/>
          <w:color w:val="000000"/>
          <w:kern w:val="0"/>
          <w:sz w:val="32"/>
          <w:szCs w:val="22"/>
          <w:lang w:val="en-US" w:eastAsia="zh-CN"/>
        </w:rPr>
        <w:t>，于2022年6月10日将结余资金829,175.66元上缴呈贡区财政局，</w:t>
      </w:r>
      <w:r>
        <w:rPr>
          <w:rFonts w:hint="default" w:ascii="Times New Roman" w:hAnsi="Times New Roman" w:eastAsia="仿宋_GB2312" w:cs="Times New Roman"/>
          <w:kern w:val="0"/>
          <w:sz w:val="32"/>
          <w:szCs w:val="22"/>
          <w:lang w:val="en-US" w:eastAsia="zh-CN"/>
        </w:rPr>
        <w:t>已整改完毕。</w:t>
      </w:r>
    </w:p>
    <w:p>
      <w:pPr>
        <w:pStyle w:val="5"/>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二、关于到期项目前期费未按约定期限归还的整改</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kern w:val="0"/>
          <w:sz w:val="32"/>
          <w:szCs w:val="22"/>
          <w:lang w:val="en-US" w:eastAsia="zh-CN"/>
        </w:rPr>
        <w:t>昆明呈贡信息产业园区管理委员会于2022年5月13日向使用项目前期经费的公司下发了《关于筹资归还项目前期经费的通知》。</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kern w:val="0"/>
          <w:sz w:val="32"/>
          <w:szCs w:val="22"/>
          <w:lang w:val="en-US" w:eastAsia="zh-CN"/>
        </w:rPr>
        <w:t>6月23日收到项目公司昆明配售电有限公司归还的呈贡信息产业园区变电站及配电网工程建设项目前期费1,000,000元；6月28日收到项目公司昆明市智慧城市建设投资有限公司归还的宝相大健康产业园启秀路（东段）、规划233、234、235（东段、西段）、236号五条道路前期费1,000,000元，信息产业园区151号二期、2-1、2-2号道路建设项目前期费1,000,000元。昆明呈贡信息产业园区管理委员会于7月8日将以上三个项目的前期经费合计3,000,000元归还到昆明市发展和改革委员会指定账户。</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kern w:val="0"/>
          <w:sz w:val="32"/>
          <w:szCs w:val="22"/>
          <w:lang w:val="en-US" w:eastAsia="zh-CN"/>
        </w:rPr>
        <w:t>目前使用“云上云”双创小镇项目前期经费的主体云南云上云大数据产业发展有限公司（以下简称“大数据公司”）于2022年6月29日向昆明市发展和改革委员会提请了《昆明呈贡信息产业园区管理委员会关于延期退还“云上云”双创小镇项目2017年市级预算内前期费的请示》,申请延期归还“云上云”双创小镇项目前期经费5,000,000元，目前还未收到昆明市发展和改革委员会的书面回复。</w:t>
      </w:r>
    </w:p>
    <w:p>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三、其他需要反映情况的相关整改</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（一）关于已投入使用的公共基础设施建设项目仍挂账“在建工程”核算的情况说明</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baseline"/>
        <w:rPr>
          <w:rFonts w:hint="eastAsia" w:ascii="仿宋_GB2312" w:hAnsi="仿宋_GB2312" w:eastAsia="仿宋_GB2312" w:cs="仿宋_GB2312"/>
          <w:kern w:val="0"/>
          <w:sz w:val="32"/>
          <w:szCs w:val="22"/>
          <w:lang w:val="en-US" w:eastAsia="zh-CN"/>
        </w:rPr>
      </w:pPr>
      <w:r>
        <w:rPr>
          <w:rFonts w:hint="eastAsia" w:ascii="仿宋_GB2312" w:hAnsi="仿宋_GB2312" w:eastAsia="仿宋_GB2312" w:cs="仿宋_GB2312"/>
          <w:kern w:val="0"/>
          <w:sz w:val="32"/>
          <w:szCs w:val="22"/>
          <w:lang w:val="en-US" w:eastAsia="zh-CN"/>
        </w:rPr>
        <w:t>昆明呈贡信</w:t>
      </w:r>
      <w:r>
        <w:rPr>
          <w:rFonts w:hint="eastAsia" w:ascii="仿宋_GB2312" w:hAnsi="仿宋_GB2312" w:eastAsia="仿宋_GB2312" w:cs="仿宋_GB2312"/>
          <w:color w:val="000000"/>
          <w:kern w:val="0"/>
          <w:sz w:val="32"/>
          <w:szCs w:val="22"/>
          <w:lang w:val="en-US" w:eastAsia="zh-CN"/>
        </w:rPr>
        <w:t>息产业园区管理委员会已于审计期间将已投入使用仍挂账“在建工程”的科</w:t>
      </w:r>
      <w:r>
        <w:rPr>
          <w:rFonts w:hint="eastAsia" w:ascii="仿宋_GB2312" w:hAnsi="仿宋_GB2312" w:eastAsia="仿宋_GB2312" w:cs="仿宋_GB2312"/>
          <w:kern w:val="0"/>
          <w:sz w:val="32"/>
          <w:szCs w:val="22"/>
          <w:lang w:val="en-US" w:eastAsia="zh-CN"/>
        </w:rPr>
        <w:t>目转入到“公共基础设施”科目核算。</w:t>
      </w:r>
    </w:p>
    <w:p>
      <w:pPr>
        <w:keepNext w:val="0"/>
        <w:keepLines w:val="0"/>
        <w:pageBreakBefore w:val="0"/>
        <w:widowControl w:val="0"/>
        <w:kinsoku/>
        <w:wordWrap/>
        <w:overflowPunct/>
        <w:topLinePunct w:val="0"/>
        <w:bidi w:val="0"/>
        <w:spacing w:line="560" w:lineRule="exact"/>
        <w:ind w:firstLine="640"/>
        <w:rPr>
          <w:rFonts w:hint="default" w:ascii="Times New Roman" w:hAnsi="Times New Roman" w:cs="Times New Roman"/>
          <w:lang w:val="en-US" w:eastAsia="zh-CN"/>
        </w:rPr>
      </w:pPr>
      <w:r>
        <w:rPr>
          <w:rFonts w:hint="default" w:ascii="Times New Roman" w:hAnsi="Times New Roman" w:eastAsia="楷体_GB2312" w:cs="Times New Roman"/>
          <w:sz w:val="32"/>
          <w:szCs w:val="32"/>
          <w:lang w:val="en-US" w:eastAsia="zh-CN"/>
        </w:rPr>
        <w:t>（二）关于呈贡区2013年第一批、第三批城镇建设用地应缴纳规费的情况说明</w:t>
      </w:r>
    </w:p>
    <w:p>
      <w:pPr>
        <w:pStyle w:val="5"/>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呈贡区2013</w:t>
      </w:r>
      <w:r>
        <w:rPr>
          <w:rFonts w:hint="eastAsia" w:ascii="仿宋_GB2312" w:hAnsi="仿宋_GB2312" w:eastAsia="仿宋_GB2312" w:cs="仿宋_GB2312"/>
          <w:color w:val="000000"/>
          <w:kern w:val="0"/>
          <w:sz w:val="32"/>
          <w:szCs w:val="32"/>
          <w:lang w:val="en-US" w:eastAsia="zh-CN"/>
        </w:rPr>
        <w:t>年</w:t>
      </w:r>
      <w:r>
        <w:rPr>
          <w:rFonts w:hint="eastAsia" w:ascii="仿宋_GB2312" w:hAnsi="仿宋_GB2312" w:eastAsia="仿宋_GB2312" w:cs="仿宋_GB2312"/>
          <w:color w:val="000000"/>
          <w:kern w:val="0"/>
          <w:sz w:val="32"/>
          <w:szCs w:val="32"/>
        </w:rPr>
        <w:t>第一批、第三批城镇建设用地</w:t>
      </w:r>
      <w:r>
        <w:rPr>
          <w:rFonts w:hint="eastAsia" w:ascii="仿宋_GB2312" w:hAnsi="仿宋_GB2312" w:eastAsia="仿宋_GB2312" w:cs="仿宋_GB2312"/>
          <w:color w:val="000000"/>
          <w:kern w:val="0"/>
          <w:sz w:val="32"/>
          <w:szCs w:val="32"/>
          <w:lang w:eastAsia="zh-CN"/>
        </w:rPr>
        <w:t>欠缴规费在审计期间</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val="en-US" w:eastAsia="zh-CN"/>
        </w:rPr>
        <w:t>已缴纳</w:t>
      </w:r>
      <w:r>
        <w:rPr>
          <w:rFonts w:hint="eastAsia" w:ascii="仿宋_GB2312" w:hAnsi="仿宋_GB2312" w:eastAsia="仿宋_GB2312" w:cs="仿宋_GB2312"/>
          <w:color w:val="000000"/>
          <w:kern w:val="0"/>
          <w:sz w:val="32"/>
          <w:szCs w:val="32"/>
          <w:lang w:val="en-US" w:eastAsia="zh-CN"/>
        </w:rPr>
        <w:t>县级坝区耕地质量补偿费</w:t>
      </w:r>
      <w:r>
        <w:rPr>
          <w:rFonts w:hint="eastAsia" w:ascii="仿宋_GB2312" w:hAnsi="仿宋_GB2312" w:eastAsia="仿宋_GB2312" w:cs="仿宋_GB2312"/>
          <w:sz w:val="32"/>
          <w:szCs w:val="32"/>
          <w:lang w:val="en-US" w:eastAsia="zh-CN"/>
        </w:rPr>
        <w:t>11500万元，剩余</w:t>
      </w:r>
      <w:r>
        <w:rPr>
          <w:rFonts w:hint="eastAsia" w:ascii="仿宋_GB2312" w:hAnsi="仿宋_GB2312" w:eastAsia="仿宋_GB2312" w:cs="仿宋_GB2312"/>
          <w:color w:val="000000"/>
          <w:kern w:val="0"/>
          <w:sz w:val="32"/>
          <w:szCs w:val="32"/>
          <w:lang w:val="en-US" w:eastAsia="zh-CN"/>
        </w:rPr>
        <w:t>规费管委会将积极筹措资金进行缴纳。</w:t>
      </w:r>
    </w:p>
    <w:p>
      <w:pPr>
        <w:pStyle w:val="3"/>
        <w:keepNext w:val="0"/>
        <w:keepLines w:val="0"/>
        <w:pageBreakBefore w:val="0"/>
        <w:widowControl w:val="0"/>
        <w:kinsoku/>
        <w:wordWrap/>
        <w:overflowPunct/>
        <w:topLinePunct w:val="0"/>
        <w:bidi w:val="0"/>
        <w:spacing w:line="560" w:lineRule="exact"/>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（三）关于智投公司负责的园区部分基础设施建设项目未取得相关许可证的情况说明</w:t>
      </w:r>
    </w:p>
    <w:p>
      <w:pPr>
        <w:keepNext w:val="0"/>
        <w:keepLines w:val="0"/>
        <w:pageBreakBefore w:val="0"/>
        <w:widowControl w:val="0"/>
        <w:kinsoku/>
        <w:wordWrap/>
        <w:overflowPunct/>
        <w:topLinePunct w:val="0"/>
        <w:bidi w:val="0"/>
        <w:adjustRightInd w:val="0"/>
        <w:snapToGrid/>
        <w:spacing w:line="560" w:lineRule="exact"/>
        <w:ind w:firstLine="643"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b/>
          <w:bCs/>
          <w:kern w:val="0"/>
          <w:sz w:val="32"/>
          <w:szCs w:val="22"/>
          <w:lang w:val="en-US" w:eastAsia="zh-CN"/>
        </w:rPr>
        <w:t>1.昆明呈贡信息产业园区一期进场道路设施提升改造项目。</w:t>
      </w:r>
      <w:r>
        <w:rPr>
          <w:rFonts w:hint="default" w:ascii="Times New Roman" w:hAnsi="Times New Roman" w:eastAsia="仿宋_GB2312" w:cs="Times New Roman"/>
          <w:kern w:val="0"/>
          <w:sz w:val="32"/>
          <w:szCs w:val="22"/>
          <w:lang w:val="en-US" w:eastAsia="zh-CN"/>
        </w:rPr>
        <w:t>该在项目实施前已与呈贡区行政审批局对接，因该项目为针对原有道路的设施提升改造，无需办理建设工程规划许可证。</w:t>
      </w:r>
    </w:p>
    <w:p>
      <w:pPr>
        <w:keepNext w:val="0"/>
        <w:keepLines w:val="0"/>
        <w:pageBreakBefore w:val="0"/>
        <w:widowControl w:val="0"/>
        <w:kinsoku/>
        <w:wordWrap/>
        <w:overflowPunct/>
        <w:topLinePunct w:val="0"/>
        <w:bidi w:val="0"/>
        <w:adjustRightInd w:val="0"/>
        <w:snapToGrid/>
        <w:spacing w:line="560" w:lineRule="exact"/>
        <w:ind w:firstLine="643"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b/>
          <w:bCs/>
          <w:kern w:val="0"/>
          <w:sz w:val="32"/>
          <w:szCs w:val="22"/>
          <w:lang w:val="en-US" w:eastAsia="zh-CN"/>
        </w:rPr>
        <w:t>2.呈贡信息产业园区污水及中水处理工程项目（一期），昆明呈贡信息产业园区151号二期、2-1、2-2号道路建设项目，万溪核心区二期九条路项目（横一路、横二路、向阳路一期、151号三期南段、152号二期、153号三期、153号四期、41号道路、万青路）。</w:t>
      </w:r>
      <w:r>
        <w:rPr>
          <w:rFonts w:hint="default" w:ascii="Times New Roman" w:hAnsi="Times New Roman" w:eastAsia="仿宋_GB2312" w:cs="Times New Roman"/>
          <w:color w:val="000000"/>
          <w:kern w:val="0"/>
          <w:sz w:val="32"/>
          <w:szCs w:val="22"/>
          <w:lang w:val="en-US" w:eastAsia="zh-CN"/>
        </w:rPr>
        <w:t>以上项目均严格按照有关要求开展工作，截至目前，除2-1、2-2号道路、横一路、横二路、向阳路一期道路已取得用地指标外，</w:t>
      </w:r>
      <w:r>
        <w:rPr>
          <w:rFonts w:hint="default" w:ascii="Times New Roman" w:hAnsi="Times New Roman" w:eastAsia="仿宋_GB2312" w:cs="Times New Roman"/>
          <w:kern w:val="0"/>
          <w:sz w:val="32"/>
          <w:szCs w:val="22"/>
          <w:lang w:val="en-US" w:eastAsia="zh-CN"/>
        </w:rPr>
        <w:t xml:space="preserve">污水及中水处理工程项目及其余道路部分用地尚未取得用地指标，暂无法办理完善工程项目各项前期行政审批手续。目前，对上述未取得用地指标的项目用地已纳入呈贡信息产业园区片区开发方案申报范围，该片区开发方案正在云南省政府待批，待取得省政府批复后，昆明市智慧城市建设投资有限公司（以下简称“智投公司”）将与园区管委会一同开展项目用地指标报批工作。待用地指标报批完成后，智投公司将根据项目实际情况积极推进前期行政审批手续办理工作。 </w:t>
      </w:r>
    </w:p>
    <w:p>
      <w:pPr>
        <w:keepNext w:val="0"/>
        <w:keepLines w:val="0"/>
        <w:pageBreakBefore w:val="0"/>
        <w:widowControl w:val="0"/>
        <w:kinsoku/>
        <w:wordWrap/>
        <w:overflowPunct/>
        <w:topLinePunct w:val="0"/>
        <w:bidi w:val="0"/>
        <w:adjustRightInd w:val="0"/>
        <w:snapToGrid/>
        <w:spacing w:line="560" w:lineRule="exact"/>
        <w:ind w:firstLine="643" w:firstLineChars="200"/>
        <w:textAlignment w:val="baseline"/>
        <w:rPr>
          <w:rFonts w:hint="default" w:ascii="Times New Roman" w:hAnsi="Times New Roman" w:eastAsia="仿宋_GB2312" w:cs="Times New Roman"/>
          <w:kern w:val="0"/>
          <w:sz w:val="32"/>
          <w:szCs w:val="22"/>
          <w:lang w:val="en-US" w:eastAsia="zh-CN"/>
        </w:rPr>
      </w:pPr>
      <w:r>
        <w:rPr>
          <w:rFonts w:hint="default" w:ascii="Times New Roman" w:hAnsi="Times New Roman" w:eastAsia="仿宋_GB2312" w:cs="Times New Roman"/>
          <w:b/>
          <w:bCs/>
          <w:kern w:val="0"/>
          <w:sz w:val="32"/>
          <w:szCs w:val="22"/>
          <w:lang w:val="en-US" w:eastAsia="zh-CN"/>
        </w:rPr>
        <w:t>3.宝相大健康产业园启秀路（东段）、规划233号、规划234号、规划235号（东段、西段）、规划236号五条道路建设项目。</w:t>
      </w:r>
      <w:r>
        <w:rPr>
          <w:rFonts w:hint="default" w:ascii="Times New Roman" w:hAnsi="Times New Roman" w:eastAsia="仿宋_GB2312" w:cs="Times New Roman"/>
          <w:kern w:val="0"/>
          <w:sz w:val="32"/>
          <w:szCs w:val="22"/>
          <w:lang w:val="en-US" w:eastAsia="zh-CN"/>
        </w:rPr>
        <w:t>该项目根据《昆明呈贡信息产业园区管理委员会关于尽快启动宝相大健康产业园855亩地块内五条道路建设工作的通知》（呈信产园管通〔2019〕11号）开展建设工作，智投公司在办理宝相大健康产业园五条道路项目用地预审及规划选址意见书时，由于上位规划原因，该项目地块涉及呈贡区关山水库管理保护范围，导致项目无法办理建设用地规划许可证、建设工程规划许可证、建筑工程施工许可证。智投公司正在配合园区管委会开展宝相大健康产业园关山水库降等工作，待关山水库降等工作完成后，智投公司将根据项目实际情况积极推进前期行政审批手续办理工作。</w:t>
      </w:r>
    </w:p>
    <w:p>
      <w:pPr>
        <w:pStyle w:val="5"/>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（四）关于大数据公司负责的云上小镇建设项目未办理建设施工许可证的情况说明</w:t>
      </w:r>
    </w:p>
    <w:p>
      <w:pPr>
        <w:pStyle w:val="5"/>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kern w:val="0"/>
          <w:sz w:val="32"/>
          <w:szCs w:val="22"/>
          <w:lang w:val="en-US" w:eastAsia="zh-CN" w:bidi="ar-SA"/>
        </w:rPr>
      </w:pPr>
      <w:r>
        <w:rPr>
          <w:rFonts w:hint="default" w:ascii="Times New Roman" w:hAnsi="Times New Roman" w:eastAsia="仿宋_GB2312" w:cs="Times New Roman"/>
          <w:kern w:val="0"/>
          <w:sz w:val="32"/>
          <w:szCs w:val="22"/>
          <w:lang w:val="en-US" w:eastAsia="zh-CN" w:bidi="ar-SA"/>
        </w:rPr>
        <w:t>大数据公司运营管理云上小镇房屋共8栋，建筑面积约62 362.47平方米。该房屋为呈贡区吴家营街道办事处与所属8个社区共同成立的昆明春溢实业企业集团有限公司开发建设，该房屋属违章建筑，未办理合法手续，故大数据公司2018年至2021年建设项目均未办理建设施工许可证。目前管委会正积极向区政府汇报，尽快将此项工作作为历史遗留问题进行处理。</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baseline"/>
        <w:rPr>
          <w:rFonts w:hint="eastAsia" w:ascii="仿宋_GB2312" w:hAnsi="仿宋_GB2312" w:eastAsia="仿宋_GB2312" w:cs="仿宋_GB2312"/>
          <w:kern w:val="0"/>
          <w:sz w:val="32"/>
          <w:szCs w:val="22"/>
          <w:lang w:val="en-US" w:eastAsia="zh-CN"/>
        </w:rPr>
      </w:pPr>
      <w:r>
        <w:rPr>
          <w:rFonts w:hint="eastAsia" w:ascii="仿宋_GB2312" w:hAnsi="仿宋_GB2312" w:eastAsia="仿宋_GB2312" w:cs="仿宋_GB2312"/>
          <w:kern w:val="0"/>
          <w:sz w:val="32"/>
          <w:szCs w:val="22"/>
          <w:lang w:val="en-US" w:eastAsia="zh-CN"/>
        </w:rPr>
        <w:t>相关整改资料详见附件。</w:t>
      </w:r>
    </w:p>
    <w:p>
      <w:pPr>
        <w:pStyle w:val="3"/>
        <w:ind w:left="0" w:leftChars="0" w:firstLine="0" w:firstLineChars="0"/>
        <w:rPr>
          <w:rFonts w:hint="default" w:ascii="Times New Roman" w:hAnsi="Times New Roman" w:cs="Times New Roman"/>
          <w:lang w:val="en-US" w:eastAsia="zh-CN"/>
        </w:rPr>
      </w:pPr>
      <w:r>
        <w:rPr>
          <w:sz w:val="32"/>
        </w:rPr>
        <w:pict>
          <v:shape id="_x0000_s1026" o:spid="_x0000_s1026" o:spt="201" type="#_x0000_t201" style="position:absolute;left:0pt;margin-left:247.15pt;margin-top:28.7pt;height:128pt;width:128pt;z-index:-251657216;mso-width-relative:page;mso-height-relative:page;" o:ole="t" filled="f" o:preferrelative="t" stroked="f" coordsize="21600,21600">
            <v:path/>
            <v:fill on="f" focussize="0,0"/>
            <v:stroke on="f"/>
            <v:imagedata r:id="rId6" o:title=""/>
            <o:lock v:ext="edit" aspectratio="f"/>
          </v:shape>
          <w:control r:id="rId5" w:name="Control 2" w:shapeid="_x0000_s1026"/>
        </w:pict>
      </w:r>
    </w:p>
    <w:p>
      <w:pPr>
        <w:pStyle w:val="3"/>
        <w:ind w:left="0" w:leftChars="0" w:firstLine="0" w:firstLineChars="0"/>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bidi w:val="0"/>
        <w:spacing w:line="560" w:lineRule="exact"/>
        <w:jc w:val="right"/>
        <w:rPr>
          <w:rFonts w:hint="default" w:ascii="Times New Roman" w:hAnsi="Times New Roman" w:cs="Times New Roman"/>
          <w:kern w:val="0"/>
          <w:sz w:val="32"/>
          <w:szCs w:val="22"/>
          <w:lang w:val="en-US" w:eastAsia="zh-CN"/>
        </w:rPr>
      </w:pPr>
      <w:r>
        <w:rPr>
          <w:rFonts w:hint="default" w:ascii="Times New Roman" w:hAnsi="Times New Roman" w:cs="Times New Roman"/>
          <w:kern w:val="0"/>
          <w:sz w:val="32"/>
          <w:szCs w:val="22"/>
          <w:lang w:val="en-US" w:eastAsia="zh-CN"/>
        </w:rPr>
        <w:t>昆明呈贡信息产业园区管理委员会</w:t>
      </w:r>
    </w:p>
    <w:p>
      <w:pPr>
        <w:pStyle w:val="3"/>
        <w:keepNext w:val="0"/>
        <w:keepLines w:val="0"/>
        <w:pageBreakBefore w:val="0"/>
        <w:widowControl w:val="0"/>
        <w:kinsoku/>
        <w:wordWrap/>
        <w:overflowPunct/>
        <w:topLinePunct w:val="0"/>
        <w:bidi w:val="0"/>
        <w:spacing w:line="560" w:lineRule="exact"/>
        <w:ind w:firstLine="4800" w:firstLineChars="1500"/>
        <w:rPr>
          <w:rFonts w:hint="default" w:ascii="Times New Roman" w:hAnsi="Times New Roman" w:cs="Times New Roman"/>
          <w:kern w:val="0"/>
          <w:sz w:val="32"/>
          <w:szCs w:val="22"/>
          <w:lang w:val="en-US" w:eastAsia="zh-CN"/>
        </w:rPr>
      </w:pPr>
      <w:r>
        <w:rPr>
          <w:rFonts w:hint="default" w:ascii="Times New Roman" w:hAnsi="Times New Roman" w:cs="Times New Roman"/>
          <w:kern w:val="0"/>
          <w:sz w:val="32"/>
          <w:szCs w:val="22"/>
          <w:lang w:val="en-US" w:eastAsia="zh-CN"/>
        </w:rPr>
        <w:t>2022年7月</w:t>
      </w:r>
      <w:r>
        <w:rPr>
          <w:rFonts w:hint="eastAsia" w:ascii="Times New Roman" w:hAnsi="Times New Roman" w:cs="Times New Roman"/>
          <w:kern w:val="0"/>
          <w:sz w:val="32"/>
          <w:szCs w:val="22"/>
          <w:lang w:val="en-US" w:eastAsia="zh-CN"/>
        </w:rPr>
        <w:t>11</w:t>
      </w:r>
      <w:r>
        <w:rPr>
          <w:rFonts w:hint="default" w:ascii="Times New Roman" w:hAnsi="Times New Roman" w:cs="Times New Roman"/>
          <w:kern w:val="0"/>
          <w:sz w:val="32"/>
          <w:szCs w:val="22"/>
          <w:lang w:val="en-US" w:eastAsia="zh-CN"/>
        </w:rPr>
        <w:t>日</w:t>
      </w:r>
    </w:p>
    <w:p>
      <w:pPr>
        <w:rPr>
          <w:sz w:val="21"/>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keepNext w:val="0"/>
        <w:keepLines w:val="0"/>
        <w:pageBreakBefore w:val="0"/>
        <w:widowControl w:val="0"/>
        <w:tabs>
          <w:tab w:val="left" w:pos="665"/>
        </w:tabs>
        <w:kinsoku/>
        <w:wordWrap/>
        <w:overflowPunct/>
        <w:topLinePunct w:val="0"/>
        <w:autoSpaceDE/>
        <w:autoSpaceDN/>
        <w:bidi w:val="0"/>
        <w:adjustRightInd/>
        <w:snapToGrid/>
        <w:spacing w:line="960" w:lineRule="auto"/>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tabs>
          <w:tab w:val="left" w:pos="665"/>
        </w:tabs>
        <w:kinsoku/>
        <w:wordWrap/>
        <w:overflowPunct/>
        <w:topLinePunct w:val="0"/>
        <w:autoSpaceDE/>
        <w:autoSpaceDN/>
        <w:bidi w:val="0"/>
        <w:adjustRightInd/>
        <w:snapToGrid/>
        <w:spacing w:line="960" w:lineRule="auto"/>
        <w:jc w:val="left"/>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28"/>
          <w:szCs w:val="28"/>
          <w:lang w:val="en-US" w:eastAsia="zh-CN"/>
        </w:rPr>
      </w:pPr>
    </w:p>
    <w:tbl>
      <w:tblPr>
        <w:tblStyle w:val="10"/>
        <w:tblpPr w:leftFromText="180" w:rightFromText="180" w:vertAnchor="text" w:horzAnchor="page" w:tblpX="1834" w:tblpY="1305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left w:val="nil"/>
              <w:right w:val="nil"/>
            </w:tcBorders>
          </w:tcPr>
          <w:p>
            <w:pPr>
              <w:keepNext w:val="0"/>
              <w:keepLines w:val="0"/>
              <w:pageBreakBefore w:val="0"/>
              <w:widowControl w:val="0"/>
              <w:tabs>
                <w:tab w:val="left" w:pos="665"/>
              </w:tabs>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lang w:val="en-US" w:eastAsia="zh-CN"/>
              </w:rPr>
              <w:t xml:space="preserve">昆明呈贡信息产业园区管理委员会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11</w:t>
            </w:r>
            <w:r>
              <w:rPr>
                <w:rFonts w:hint="default" w:ascii="Times New Roman" w:hAnsi="Times New Roman" w:eastAsia="仿宋_GB2312" w:cs="Times New Roman"/>
                <w:sz w:val="28"/>
                <w:szCs w:val="28"/>
                <w:lang w:val="en-US" w:eastAsia="zh-CN"/>
              </w:rPr>
              <w:t>日印发</w:t>
            </w:r>
          </w:p>
        </w:tc>
      </w:tr>
    </w:tbl>
    <w:p>
      <w:pPr>
        <w:keepNext w:val="0"/>
        <w:keepLines w:val="0"/>
        <w:pageBreakBefore w:val="0"/>
        <w:widowControl w:val="0"/>
        <w:tabs>
          <w:tab w:val="left" w:pos="665"/>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forms" w:enforcement="1" w:cryptProviderType="rsaFull" w:cryptAlgorithmClass="hash" w:cryptAlgorithmType="typeAny" w:cryptAlgorithmSid="4" w:cryptSpinCount="0" w:hash="5O1nRRZ0DE+lqP+dPhmC5WjziAY=" w:salt="QkG/IwTvvq6VupRx/9vqk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057EF"/>
    <w:rsid w:val="0C766BBA"/>
    <w:rsid w:val="13EF1A69"/>
    <w:rsid w:val="16D82B3E"/>
    <w:rsid w:val="1FC057EF"/>
    <w:rsid w:val="29CB15CB"/>
    <w:rsid w:val="36F51A05"/>
    <w:rsid w:val="39A13912"/>
    <w:rsid w:val="63090CFA"/>
    <w:rsid w:val="6FBF2BA2"/>
    <w:rsid w:val="79A2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hint="eastAsia" w:ascii="Calibri" w:hAnsi="Calibri" w:eastAsia="仿宋_GB2312"/>
      <w:kern w:val="2"/>
      <w:sz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560" w:firstLineChars="200"/>
    </w:pPr>
    <w:rPr>
      <w:rFonts w:eastAsia="仿宋_GB2312"/>
      <w:kern w:val="2"/>
      <w:sz w:val="28"/>
      <w:szCs w:val="24"/>
    </w:rPr>
  </w:style>
  <w:style w:type="paragraph" w:styleId="5">
    <w:name w:val="Plain Text"/>
    <w:basedOn w:val="1"/>
    <w:next w:val="1"/>
    <w:unhideWhenUsed/>
    <w:qFormat/>
    <w:uiPriority w:val="99"/>
    <w:rPr>
      <w:rFonts w:hAnsi="Courier New"/>
      <w:kern w:val="0"/>
      <w:sz w:val="20"/>
      <w:szCs w:val="21"/>
      <w:lang w:val="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2020-03-04T05:36:00Z</dcterms:created>
  <dc:creator>dell</dc:creator>
  <cp:lastModifiedBy>dell</cp:lastModifiedBy>
  <dcterms:modified xsi:type="dcterms:W3CDTF">2022-07-11T08:47:28Z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docranid">
    <vt:lpwstr>CF2D78EF9B8B4D1BA461827F9469AF28</vt:lpwstr>
  </property>
</Properties>
</file>