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right="382" w:rightChars="182" w:firstLine="210" w:firstLineChars="100"/>
        <w:jc w:val="center"/>
        <w:rPr>
          <w:bCs/>
          <w:color w:val="000000"/>
        </w:rPr>
      </w:pPr>
      <w:bookmarkStart w:id="0" w:name="_GoBack"/>
      <w:bookmarkEnd w:id="0"/>
    </w:p>
    <w:p>
      <w:pPr>
        <w:spacing w:line="300" w:lineRule="exact"/>
        <w:ind w:right="382" w:rightChars="182" w:firstLine="210" w:firstLineChars="100"/>
        <w:jc w:val="center"/>
        <w:rPr>
          <w:bCs/>
          <w:color w:val="000000"/>
        </w:rPr>
      </w:pPr>
    </w:p>
    <w:p>
      <w:pPr>
        <w:spacing w:line="300" w:lineRule="exact"/>
        <w:ind w:right="382" w:rightChars="182" w:firstLine="210" w:firstLineChars="100"/>
        <w:jc w:val="center"/>
        <w:rPr>
          <w:bCs/>
          <w:color w:val="000000"/>
        </w:rPr>
      </w:pPr>
    </w:p>
    <w:p>
      <w:pPr>
        <w:spacing w:line="300" w:lineRule="exact"/>
        <w:ind w:right="382" w:rightChars="182"/>
        <w:jc w:val="both"/>
        <w:rPr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82" w:rightChars="182"/>
        <w:textAlignment w:val="auto"/>
        <w:rPr>
          <w:bCs/>
          <w:color w:val="000000"/>
          <w:spacing w:val="-60"/>
          <w:sz w:val="21"/>
          <w:szCs w:val="22"/>
        </w:rPr>
      </w:pPr>
    </w:p>
    <w:p>
      <w:pPr>
        <w:jc w:val="center"/>
        <w:rPr>
          <w:rFonts w:hint="eastAsia" w:eastAsia="方正小标宋简体"/>
          <w:bCs/>
          <w:color w:val="000000"/>
          <w:sz w:val="120"/>
          <w:szCs w:val="120"/>
          <w:lang w:val="en-US" w:eastAsia="zh-CN"/>
        </w:rPr>
      </w:pPr>
      <w:r>
        <w:rPr>
          <w:rFonts w:eastAsia="方正小标宋简体"/>
          <w:color w:val="FF0000"/>
          <w:spacing w:val="1"/>
          <w:w w:val="42"/>
          <w:kern w:val="0"/>
          <w:sz w:val="120"/>
          <w:szCs w:val="120"/>
          <w:fitText w:val="8734" w:id="0"/>
        </w:rPr>
        <w:t>昆明呈贡信息产业园区管理委员会</w:t>
      </w:r>
      <w:r>
        <w:rPr>
          <w:rFonts w:hint="eastAsia" w:eastAsia="方正小标宋简体"/>
          <w:color w:val="FF0000"/>
          <w:spacing w:val="1"/>
          <w:w w:val="42"/>
          <w:kern w:val="0"/>
          <w:sz w:val="120"/>
          <w:szCs w:val="120"/>
          <w:fitText w:val="8734" w:id="0"/>
          <w:lang w:val="en-US" w:eastAsia="zh-CN"/>
        </w:rPr>
        <w:t>文</w:t>
      </w:r>
      <w:r>
        <w:rPr>
          <w:rFonts w:hint="eastAsia" w:eastAsia="方正小标宋简体"/>
          <w:color w:val="FF0000"/>
          <w:spacing w:val="128"/>
          <w:w w:val="42"/>
          <w:kern w:val="0"/>
          <w:sz w:val="120"/>
          <w:szCs w:val="120"/>
          <w:fitText w:val="8734" w:id="0"/>
          <w:lang w:val="en-US" w:eastAsia="zh-CN"/>
        </w:rPr>
        <w:t>件</w:t>
      </w:r>
    </w:p>
    <w:p>
      <w:pPr>
        <w:spacing w:line="300" w:lineRule="exact"/>
        <w:ind w:right="382" w:rightChars="182"/>
        <w:rPr>
          <w:bCs/>
          <w:color w:val="000000"/>
        </w:rPr>
      </w:pPr>
    </w:p>
    <w:p>
      <w:pPr>
        <w:spacing w:line="300" w:lineRule="exact"/>
        <w:ind w:right="382" w:rightChars="182" w:firstLine="210" w:firstLineChars="100"/>
        <w:jc w:val="center"/>
        <w:rPr>
          <w:bCs/>
          <w:color w:val="000000"/>
        </w:rPr>
      </w:pPr>
    </w:p>
    <w:p>
      <w:pPr>
        <w:spacing w:line="300" w:lineRule="exact"/>
        <w:ind w:right="382" w:rightChars="182" w:firstLine="210" w:firstLineChars="100"/>
        <w:jc w:val="center"/>
        <w:rPr>
          <w:bCs/>
          <w:color w:val="000000"/>
        </w:rPr>
      </w:pPr>
    </w:p>
    <w:p>
      <w:pPr>
        <w:ind w:left="709" w:right="248" w:rightChars="118" w:hanging="567"/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呈信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〕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号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签发人：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lang w:eastAsia="zh-CN"/>
        </w:rPr>
        <w:t>李剑峰</w:t>
      </w:r>
    </w:p>
    <w:p>
      <w:pPr>
        <w:ind w:right="233" w:rightChars="111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eastAsia="方正小标宋简体"/>
          <w:color w:val="FC0416"/>
          <w:spacing w:val="-20"/>
          <w:w w:val="55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48895</wp:posOffset>
                </wp:positionV>
                <wp:extent cx="5769610" cy="33020"/>
                <wp:effectExtent l="0" t="6350" r="2540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9610" cy="3302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3pt;margin-top:3.85pt;height:2.6pt;width:454.3pt;z-index:251658240;mso-width-relative:page;mso-height-relative:page;" filled="f" stroked="t" coordsize="21600,21600" o:gfxdata="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gAaMnW&#10;AAAACAEAAA8AAAAAAAAAAQAgAAAAIgAAAGRycy9kb3ducmV2LnhtbFBLAQIUABQAAAAIAIdO4kB2&#10;38Py6QEAAKUDAAAOAAAAAAAAAAEAIAAAACUBAABkcnMvZTJvRG9jLnhtbFBLBQYAAAAABgAGAFkB&#10;AACA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22"/>
          <w:lang w:val="en-US" w:eastAsia="zh-CN"/>
        </w:rPr>
        <w:t>昆明呈贡信息产业园区管理委员会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22"/>
          <w:lang w:val="en-US" w:eastAsia="zh-CN"/>
        </w:rPr>
        <w:t>关于昆明市省级工业园区2018年至2021年财务收支审计审计决定的执行情况报告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昆明市审计局：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昆明呈贡信息产业园区管理委员会于2022年5月10日收到《昆明市审计局关于昆明市省级工业园区2018年至2021年财务收支审计的审计决定》(昆审决〔2022〕14号)，根据审计决定相关内容及要求，2022年5月24日，昆明呈贡信息产业园区管理委员会2022年第10次主任办公会议研究后，要求按规定上缴财政结余资金，财务部根据主任办公会会议精神及相关批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，于2022年6月10日将结余资金829,175.66元上缴呈贡区财政局，特此报告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附件：相关上缴结余资金资料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昆明呈贡</w:t>
      </w:r>
      <w:r>
        <w:rPr>
          <w:sz w:val="32"/>
        </w:rPr>
        <w:pict>
          <v:shape id="Control 2" o:spid="_x0000_s1027" o:spt="201" alt="" type="#_x0000_t201" style="position:absolute;left:0pt;margin-left:251.25pt;margin-top:-26.25pt;height:128pt;width:128pt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ontrol 2" w:shapeid="Control 2"/>
        </w:pic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信息产业园区管理委员会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2022年7月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</w:p>
    <w:p>
      <w:pPr>
        <w:rPr>
          <w:sz w:val="21"/>
        </w:rPr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tbl>
      <w:tblPr>
        <w:tblStyle w:val="10"/>
        <w:tblpPr w:leftFromText="180" w:rightFromText="180" w:vertAnchor="text" w:horzAnchor="page" w:tblpX="1740" w:tblpY="193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昆明呈贡信息产业园区管理委员会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UfNPxVTujC4dLN2fYwZXsAa406k=" w:salt="I1yk/J97Kqv0ELBeoCSM0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057EF"/>
    <w:rsid w:val="1FC057EF"/>
    <w:rsid w:val="35DB13F8"/>
    <w:rsid w:val="36F51A05"/>
    <w:rsid w:val="39A13912"/>
    <w:rsid w:val="63090CFA"/>
    <w:rsid w:val="6FBF2BA2"/>
    <w:rsid w:val="79A2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hAnsi="Courier New"/>
      <w:kern w:val="0"/>
      <w:sz w:val="20"/>
      <w:szCs w:val="21"/>
      <w:lang w:val="zh-CN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eastAsia="仿宋_GB2312"/>
      <w:kern w:val="2"/>
      <w:sz w:val="28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next w:val="7"/>
    <w:qFormat/>
    <w:uiPriority w:val="0"/>
    <w:pPr>
      <w:snapToGrid w:val="0"/>
      <w:jc w:val="left"/>
    </w:pPr>
    <w:rPr>
      <w:rFonts w:hint="eastAsia" w:ascii="Calibri" w:hAnsi="Calibri" w:eastAsia="仿宋_GB2312"/>
      <w:kern w:val="2"/>
      <w:sz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2020-03-04T05:36:00Z</dcterms:created>
  <dc:creator>dell</dc:creator>
  <cp:lastModifiedBy>dell</cp:lastModifiedBy>
  <dcterms:modified xsi:type="dcterms:W3CDTF">2022-07-11T08:46:55Z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docranid">
    <vt:lpwstr>F4DAA5C68A284903ACD607D3A3472573</vt:lpwstr>
  </property>
</Properties>
</file>