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AC3" w:rsidRDefault="00CC6533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昆明市生态环境局呈贡分局</w:t>
      </w:r>
    </w:p>
    <w:p w:rsidR="00CF3AC3" w:rsidRDefault="00CC6533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拟审批《</w:t>
      </w:r>
      <w:r>
        <w:rPr>
          <w:rFonts w:ascii="方正小标宋简体" w:eastAsia="方正小标宋简体" w:hint="eastAsia"/>
          <w:sz w:val="44"/>
          <w:szCs w:val="44"/>
        </w:rPr>
        <w:t>云南民族大学附属学校（呈贡校区）建设项目</w:t>
      </w:r>
      <w:r>
        <w:rPr>
          <w:rFonts w:ascii="方正小标宋简体" w:eastAsia="方正小标宋简体" w:hint="eastAsia"/>
          <w:sz w:val="44"/>
          <w:szCs w:val="44"/>
        </w:rPr>
        <w:t>环境影响报告表》的公示</w:t>
      </w:r>
    </w:p>
    <w:p w:rsidR="00CF3AC3" w:rsidRDefault="00CF3AC3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CF3AC3" w:rsidRDefault="00CC6533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根据建设项目环境影响评价审批的有关规定，现将拟审批的《</w:t>
      </w:r>
      <w:r>
        <w:rPr>
          <w:rFonts w:ascii="仿宋_GB2312" w:eastAsia="仿宋_GB2312" w:hint="eastAsia"/>
          <w:sz w:val="32"/>
          <w:szCs w:val="32"/>
        </w:rPr>
        <w:t>云南民族大学附属学校（呈贡校区）建设</w:t>
      </w:r>
      <w:r>
        <w:rPr>
          <w:rFonts w:ascii="仿宋_GB2312" w:eastAsia="仿宋_GB2312" w:hint="eastAsia"/>
          <w:sz w:val="32"/>
          <w:szCs w:val="32"/>
        </w:rPr>
        <w:t>项目环境影响报告表》基本情况予以公示。</w:t>
      </w:r>
    </w:p>
    <w:p w:rsidR="00CF3AC3" w:rsidRDefault="00CC6533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一、建设项目概况</w:t>
      </w:r>
    </w:p>
    <w:p w:rsidR="00CF3AC3" w:rsidRDefault="00CC6533">
      <w:pPr>
        <w:spacing w:line="560" w:lineRule="exact"/>
        <w:ind w:leftChars="304" w:left="638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项目名称：</w:t>
      </w:r>
      <w:r>
        <w:rPr>
          <w:rFonts w:ascii="仿宋_GB2312" w:eastAsia="仿宋_GB2312" w:hint="eastAsia"/>
          <w:sz w:val="32"/>
          <w:szCs w:val="32"/>
        </w:rPr>
        <w:t>云南民族大学附属学校（呈贡校区）建设项目</w:t>
      </w:r>
      <w:r>
        <w:rPr>
          <w:rFonts w:ascii="仿宋_GB2312" w:eastAsia="仿宋_GB2312" w:hint="eastAsia"/>
          <w:sz w:val="32"/>
          <w:szCs w:val="32"/>
        </w:rPr>
        <w:t>建设地点：云南省（自治区）昆明市呈贡县（区）驼峰街与景明北路交叉路口</w:t>
      </w:r>
    </w:p>
    <w:p w:rsidR="00CF3AC3" w:rsidRDefault="00CC6533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建设单位：</w:t>
      </w:r>
      <w:r>
        <w:rPr>
          <w:rFonts w:ascii="仿宋_GB2312" w:eastAsia="仿宋_GB2312" w:hint="eastAsia"/>
          <w:sz w:val="32"/>
          <w:szCs w:val="32"/>
        </w:rPr>
        <w:t>昆明市呈贡区教育体育局</w:t>
      </w:r>
    </w:p>
    <w:p w:rsidR="00CF3AC3" w:rsidRDefault="00CC6533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建设性质：</w:t>
      </w:r>
      <w:r>
        <w:rPr>
          <w:rFonts w:ascii="仿宋_GB2312" w:eastAsia="仿宋_GB2312" w:hint="eastAsia"/>
          <w:sz w:val="32"/>
          <w:szCs w:val="32"/>
        </w:rPr>
        <w:t>新</w:t>
      </w:r>
      <w:r>
        <w:rPr>
          <w:rFonts w:ascii="仿宋_GB2312" w:eastAsia="仿宋_GB2312" w:hint="eastAsia"/>
          <w:sz w:val="32"/>
          <w:szCs w:val="32"/>
        </w:rPr>
        <w:t>建</w:t>
      </w:r>
    </w:p>
    <w:p w:rsidR="00CF3AC3" w:rsidRDefault="00CC6533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环评单位：云南</w:t>
      </w:r>
      <w:r>
        <w:rPr>
          <w:rFonts w:ascii="仿宋_GB2312" w:eastAsia="仿宋_GB2312" w:hint="eastAsia"/>
          <w:sz w:val="32"/>
          <w:szCs w:val="32"/>
        </w:rPr>
        <w:t>环润</w:t>
      </w:r>
      <w:r>
        <w:rPr>
          <w:rFonts w:ascii="仿宋_GB2312" w:eastAsia="仿宋_GB2312" w:hint="eastAsia"/>
          <w:sz w:val="32"/>
          <w:szCs w:val="32"/>
        </w:rPr>
        <w:t>环保科技有限公司</w:t>
      </w:r>
    </w:p>
    <w:p w:rsidR="00CF3AC3" w:rsidRDefault="00CC6533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建设内容：</w:t>
      </w:r>
      <w:r>
        <w:rPr>
          <w:rFonts w:ascii="仿宋_GB2312" w:eastAsia="仿宋_GB2312" w:hint="eastAsia"/>
          <w:sz w:val="32"/>
          <w:szCs w:val="32"/>
        </w:rPr>
        <w:t>本项目位于昆明市呈贡区驼峰街与景明北路交叉路口，项目总用地面积66181.03㎡，总建筑面积110646.13㎡（其中地上面积88173.48㎡，地下面积22472.65㎡)。主要内容包括教学楼、食堂、教师及学生宿舍、综合体育馆、地下室及室外道路、绿化等附属及配套工程。办学规模为完全中学48班，学生总数2400人。项目总投资67203.4万元，其中环保投资950万元，环保投资占总投资的1.41%。</w:t>
      </w:r>
    </w:p>
    <w:p w:rsidR="00CF3AC3" w:rsidRDefault="00CC6533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二、项目采取的环保对策措施</w:t>
      </w:r>
    </w:p>
    <w:p w:rsidR="00CF3AC3" w:rsidRDefault="00CF3AC3">
      <w:pPr>
        <w:spacing w:line="560" w:lineRule="exact"/>
        <w:ind w:firstLineChars="200" w:firstLine="640"/>
        <w:jc w:val="center"/>
        <w:rPr>
          <w:rFonts w:ascii="仿宋_GB2312" w:eastAsia="仿宋_GB2312" w:hAnsi="黑体"/>
          <w:sz w:val="32"/>
          <w:szCs w:val="32"/>
        </w:rPr>
      </w:pPr>
    </w:p>
    <w:p w:rsidR="00CF3AC3" w:rsidRDefault="00CC6533">
      <w:pPr>
        <w:spacing w:line="560" w:lineRule="exact"/>
        <w:ind w:firstLineChars="200" w:firstLine="640"/>
        <w:jc w:val="center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环境保护措施一览表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2"/>
        <w:gridCol w:w="588"/>
        <w:gridCol w:w="6970"/>
        <w:gridCol w:w="992"/>
      </w:tblGrid>
      <w:tr w:rsidR="00CF3AC3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3" w:rsidRDefault="00CC6533">
            <w:pPr>
              <w:spacing w:line="5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项目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3" w:rsidRDefault="00CC6533">
            <w:pPr>
              <w:spacing w:line="5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阶段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3" w:rsidRDefault="00CC6533">
            <w:pPr>
              <w:spacing w:line="5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主要内容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3" w:rsidRDefault="00CC6533">
            <w:pPr>
              <w:spacing w:line="5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预期效果</w:t>
            </w:r>
          </w:p>
        </w:tc>
      </w:tr>
      <w:tr w:rsidR="00CF3AC3">
        <w:trPr>
          <w:trHeight w:val="3157"/>
        </w:trPr>
        <w:tc>
          <w:tcPr>
            <w:tcW w:w="772" w:type="dxa"/>
            <w:vMerge w:val="restart"/>
            <w:vAlign w:val="center"/>
          </w:tcPr>
          <w:p w:rsidR="00CF3AC3" w:rsidRDefault="00CC6533">
            <w:pPr>
              <w:spacing w:line="5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水环境保护措施</w:t>
            </w:r>
          </w:p>
        </w:tc>
        <w:tc>
          <w:tcPr>
            <w:tcW w:w="588" w:type="dxa"/>
            <w:vAlign w:val="center"/>
          </w:tcPr>
          <w:p w:rsidR="00CF3AC3" w:rsidRDefault="00CC6533">
            <w:pPr>
              <w:spacing w:line="5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施工期</w:t>
            </w:r>
          </w:p>
        </w:tc>
        <w:tc>
          <w:tcPr>
            <w:tcW w:w="6970" w:type="dxa"/>
            <w:vAlign w:val="center"/>
          </w:tcPr>
          <w:p w:rsidR="00B80811" w:rsidRPr="00B80811" w:rsidRDefault="00B80811" w:rsidP="00B80811">
            <w:pPr>
              <w:pStyle w:val="Default"/>
              <w:spacing w:line="400" w:lineRule="exact"/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</w:rPr>
            </w:pPr>
            <w:r w:rsidRPr="00B80811"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</w:rPr>
              <w:t>施工废水、施工人员洗手废水、暴雨地表径流、基坑涌水经沉淀、澄清后回用于建筑材料的冲洗及施工场地洒水降尘，不外排。</w:t>
            </w:r>
          </w:p>
          <w:p w:rsidR="00CF3AC3" w:rsidRPr="00B80811" w:rsidRDefault="00CF3AC3" w:rsidP="00B80811">
            <w:pPr>
              <w:pStyle w:val="aa"/>
              <w:spacing w:line="400" w:lineRule="exact"/>
              <w:ind w:firstLine="0"/>
              <w:rPr>
                <w:rFonts w:ascii="仿宋_GB2312" w:eastAsia="仿宋_GB2312" w:hAnsi="黑体" w:cs="Times New Roman"/>
                <w:bCs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F3AC3" w:rsidRDefault="00CC6533">
            <w:pPr>
              <w:pStyle w:val="aa"/>
              <w:spacing w:line="400" w:lineRule="exact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  <w:lang w:val="zh-CN"/>
              </w:rPr>
              <w:t>不会对周围环境造成影响</w:t>
            </w:r>
          </w:p>
        </w:tc>
      </w:tr>
      <w:tr w:rsidR="00CF3AC3">
        <w:tc>
          <w:tcPr>
            <w:tcW w:w="772" w:type="dxa"/>
            <w:vMerge/>
            <w:vAlign w:val="center"/>
          </w:tcPr>
          <w:p w:rsidR="00CF3AC3" w:rsidRDefault="00CF3AC3">
            <w:pPr>
              <w:spacing w:line="56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588" w:type="dxa"/>
            <w:vAlign w:val="center"/>
          </w:tcPr>
          <w:p w:rsidR="00CF3AC3" w:rsidRDefault="00CC6533">
            <w:pPr>
              <w:spacing w:line="5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运营期</w:t>
            </w:r>
          </w:p>
        </w:tc>
        <w:tc>
          <w:tcPr>
            <w:tcW w:w="6970" w:type="dxa"/>
            <w:vAlign w:val="center"/>
          </w:tcPr>
          <w:p w:rsidR="00CF3AC3" w:rsidRDefault="00CC6533">
            <w:pPr>
              <w:pStyle w:val="Default"/>
              <w:spacing w:line="400" w:lineRule="exact"/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  <w:shd w:val="clear" w:color="auto" w:fill="FFFFFF" w:themeFill="background1"/>
              </w:rPr>
              <w:t>（</w:t>
            </w:r>
            <w:r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  <w:shd w:val="clear" w:color="auto" w:fill="FFFFFF" w:themeFill="background1"/>
              </w:rPr>
              <w:t>1</w:t>
            </w:r>
            <w:r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  <w:shd w:val="clear" w:color="auto" w:fill="FFFFFF" w:themeFill="background1"/>
              </w:rPr>
              <w:t>）</w:t>
            </w:r>
            <w:r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  <w:shd w:val="clear" w:color="auto" w:fill="FFFFFF" w:themeFill="background1"/>
              </w:rPr>
              <w:t>项目排水</w:t>
            </w:r>
            <w:r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  <w:shd w:val="clear" w:color="auto" w:fill="FFFFFF" w:themeFill="background1"/>
              </w:rPr>
              <w:t>采用雨污分流制，雨水和分体空调冷凝水由雨水管道收集后，排至校园内雨水管网，最终进入项目区外市政雨水管网</w:t>
            </w:r>
            <w:r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  <w:shd w:val="clear" w:color="auto" w:fill="FFFFFF" w:themeFill="background1"/>
              </w:rPr>
              <w:t>。</w:t>
            </w:r>
          </w:p>
          <w:p w:rsidR="00CF3AC3" w:rsidRDefault="00CC6533">
            <w:pPr>
              <w:pStyle w:val="Default"/>
              <w:spacing w:line="400" w:lineRule="exact"/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</w:rPr>
              <w:t>（</w:t>
            </w:r>
            <w:r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</w:rPr>
              <w:t>2</w:t>
            </w:r>
            <w:r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</w:rPr>
              <w:t>）</w:t>
            </w:r>
            <w:r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</w:rPr>
              <w:t>食堂餐饮废水</w:t>
            </w:r>
            <w:r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</w:rPr>
              <w:t>经隔油池处理后</w:t>
            </w:r>
            <w:r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</w:rPr>
              <w:t>与其他生活废水一起经化粪池预处理</w:t>
            </w:r>
          </w:p>
          <w:p w:rsidR="00A9032A" w:rsidRPr="00A9032A" w:rsidRDefault="00A9032A" w:rsidP="00A9032A">
            <w:pPr>
              <w:pStyle w:val="Default"/>
              <w:spacing w:line="400" w:lineRule="exact"/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</w:rPr>
              <w:t>（3）</w:t>
            </w:r>
            <w:r w:rsidRPr="00A9032A"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</w:rPr>
              <w:t>实验室废水分类收集和处理，严格禁止未经处理的实验废水直接排放，实验室设置酸性废液收集桶、碱性废液收集桶，对酸碱性实验废水分别收集，委托有资质的单位清运处置，实验室清洗废水经中和</w:t>
            </w:r>
            <w:proofErr w:type="gramStart"/>
            <w:r w:rsidRPr="00A9032A"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</w:rPr>
              <w:t>池处理</w:t>
            </w:r>
            <w:proofErr w:type="gramEnd"/>
            <w:r w:rsidRPr="00A9032A"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</w:rPr>
              <w:t>至中性后排入化粪池处理。</w:t>
            </w:r>
          </w:p>
          <w:p w:rsidR="00CF3AC3" w:rsidRDefault="00CC6533" w:rsidP="00A9032A">
            <w:pPr>
              <w:pStyle w:val="Default"/>
              <w:spacing w:line="400" w:lineRule="exact"/>
            </w:pPr>
            <w:r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</w:rPr>
              <w:t>（</w:t>
            </w:r>
            <w:r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</w:rPr>
              <w:t>4</w:t>
            </w:r>
            <w:r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</w:rPr>
              <w:t>）</w:t>
            </w:r>
            <w:r w:rsidR="00A9032A"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</w:rPr>
              <w:t>项目废水经化粪池处理达标后，部分进入中水处理站处理达标后回用于项目内部（绿化、道路浇洒）；剩余部分排入市政污水管网。</w:t>
            </w:r>
          </w:p>
        </w:tc>
        <w:tc>
          <w:tcPr>
            <w:tcW w:w="992" w:type="dxa"/>
            <w:vAlign w:val="center"/>
          </w:tcPr>
          <w:p w:rsidR="00CF3AC3" w:rsidRDefault="009A5FDC">
            <w:pPr>
              <w:pStyle w:val="10015"/>
              <w:spacing w:line="300" w:lineRule="exact"/>
              <w:ind w:firstLineChars="0" w:firstLine="0"/>
              <w:rPr>
                <w:rFonts w:ascii="仿宋_GB2312" w:eastAsia="仿宋_GB2312" w:hAnsi="黑体" w:hint="eastAsia"/>
                <w:bCs/>
                <w:kern w:val="2"/>
                <w:sz w:val="18"/>
                <w:szCs w:val="18"/>
              </w:rPr>
            </w:pPr>
            <w:r>
              <w:rPr>
                <w:rFonts w:ascii="仿宋_GB2312" w:eastAsia="仿宋_GB2312" w:hAnsi="黑体" w:hint="eastAsia"/>
                <w:bCs/>
                <w:kern w:val="2"/>
                <w:sz w:val="18"/>
                <w:szCs w:val="18"/>
              </w:rPr>
              <w:t>外排废水达</w:t>
            </w:r>
            <w:r w:rsidRPr="009A5FDC">
              <w:rPr>
                <w:rFonts w:ascii="仿宋_GB2312" w:eastAsia="仿宋_GB2312" w:hAnsi="黑体" w:hint="eastAsia"/>
                <w:bCs/>
                <w:kern w:val="2"/>
                <w:sz w:val="18"/>
                <w:szCs w:val="18"/>
              </w:rPr>
              <w:t>GB/T31962-2015《污水排入城镇下水道水质标准》表1中的A等级标准</w:t>
            </w:r>
            <w:r>
              <w:rPr>
                <w:rFonts w:ascii="仿宋_GB2312" w:eastAsia="仿宋_GB2312" w:hAnsi="黑体" w:hint="eastAsia"/>
                <w:bCs/>
                <w:kern w:val="2"/>
                <w:sz w:val="18"/>
                <w:szCs w:val="18"/>
              </w:rPr>
              <w:t>；</w:t>
            </w:r>
          </w:p>
          <w:p w:rsidR="00792CA2" w:rsidRPr="00792CA2" w:rsidRDefault="00792CA2" w:rsidP="00792CA2">
            <w:pPr>
              <w:pStyle w:val="aa"/>
              <w:ind w:firstLine="0"/>
            </w:pPr>
            <w:r w:rsidRPr="00792CA2">
              <w:rPr>
                <w:rFonts w:ascii="仿宋_GB2312" w:eastAsia="仿宋_GB2312" w:hAnsi="黑体" w:cs="Times New Roman" w:hint="eastAsia"/>
                <w:sz w:val="18"/>
                <w:szCs w:val="18"/>
              </w:rPr>
              <w:t>回用水达GB/T18920-2020《城市污水再生利用城市杂用水水质》中的绿化标准</w:t>
            </w:r>
          </w:p>
        </w:tc>
      </w:tr>
      <w:tr w:rsidR="00CF3AC3">
        <w:tc>
          <w:tcPr>
            <w:tcW w:w="772" w:type="dxa"/>
            <w:vAlign w:val="center"/>
          </w:tcPr>
          <w:p w:rsidR="00CF3AC3" w:rsidRDefault="00CC6533">
            <w:pPr>
              <w:spacing w:line="5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环境</w:t>
            </w:r>
            <w:r>
              <w:rPr>
                <w:rFonts w:ascii="仿宋_GB2312" w:eastAsia="仿宋_GB2312" w:hAnsi="黑体" w:hint="eastAsia"/>
                <w:sz w:val="28"/>
                <w:szCs w:val="28"/>
              </w:rPr>
              <w:lastRenderedPageBreak/>
              <w:t>空气保护措施</w:t>
            </w:r>
          </w:p>
        </w:tc>
        <w:tc>
          <w:tcPr>
            <w:tcW w:w="588" w:type="dxa"/>
            <w:vAlign w:val="center"/>
          </w:tcPr>
          <w:p w:rsidR="00CF3AC3" w:rsidRDefault="00CC6533">
            <w:pPr>
              <w:spacing w:line="5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lastRenderedPageBreak/>
              <w:t>施工</w:t>
            </w:r>
            <w:r>
              <w:rPr>
                <w:rFonts w:ascii="仿宋_GB2312" w:eastAsia="仿宋_GB2312" w:hAnsi="黑体" w:hint="eastAsia"/>
                <w:sz w:val="28"/>
                <w:szCs w:val="28"/>
              </w:rPr>
              <w:lastRenderedPageBreak/>
              <w:t>期</w:t>
            </w:r>
          </w:p>
        </w:tc>
        <w:tc>
          <w:tcPr>
            <w:tcW w:w="6970" w:type="dxa"/>
            <w:vAlign w:val="center"/>
          </w:tcPr>
          <w:p w:rsidR="00CF3AC3" w:rsidRDefault="00CC6533">
            <w:pPr>
              <w:pStyle w:val="Default"/>
              <w:spacing w:line="400" w:lineRule="exact"/>
              <w:rPr>
                <w:rFonts w:ascii="仿宋_GB2312" w:eastAsia="仿宋_GB2312" w:hAnsi="黑体" w:cs="Times New Roman"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</w:rPr>
              <w:lastRenderedPageBreak/>
              <w:t>（</w:t>
            </w:r>
            <w:r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</w:rPr>
              <w:t>1</w:t>
            </w:r>
            <w:r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</w:rPr>
              <w:t>）</w:t>
            </w:r>
            <w:r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</w:rPr>
              <w:t>施工场地</w:t>
            </w:r>
            <w:r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</w:rPr>
              <w:t>应</w:t>
            </w:r>
            <w:r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</w:rPr>
              <w:t>设置洒水软管，干旱大风天气进行洒水降尘</w:t>
            </w:r>
            <w:r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</w:rPr>
              <w:t>。</w:t>
            </w:r>
          </w:p>
          <w:p w:rsidR="00CF3AC3" w:rsidRDefault="00CC6533">
            <w:pPr>
              <w:pStyle w:val="Default"/>
              <w:spacing w:line="400" w:lineRule="exact"/>
              <w:rPr>
                <w:rFonts w:ascii="仿宋_GB2312" w:eastAsia="仿宋_GB2312" w:hAnsi="黑体" w:cs="Times New Roman"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</w:rPr>
              <w:t>（</w:t>
            </w:r>
            <w:r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</w:rPr>
              <w:t>2</w:t>
            </w:r>
            <w:r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</w:rPr>
              <w:t>）</w:t>
            </w:r>
            <w:r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</w:rPr>
              <w:t>施工时</w:t>
            </w:r>
            <w:r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</w:rPr>
              <w:t>对运输车辆限速行驶及保持路面的清洁</w:t>
            </w:r>
            <w:r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</w:rPr>
              <w:t>。</w:t>
            </w:r>
          </w:p>
          <w:p w:rsidR="00CF3AC3" w:rsidRDefault="00CC6533">
            <w:pPr>
              <w:pStyle w:val="Default"/>
              <w:spacing w:line="400" w:lineRule="exact"/>
              <w:rPr>
                <w:rFonts w:ascii="仿宋_GB2312" w:eastAsia="仿宋_GB2312" w:hAnsi="黑体" w:cs="Times New Roman"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</w:rPr>
              <w:lastRenderedPageBreak/>
              <w:t>（</w:t>
            </w:r>
            <w:r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</w:rPr>
              <w:t>3</w:t>
            </w:r>
            <w:r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</w:rPr>
              <w:t>）</w:t>
            </w:r>
            <w:r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</w:rPr>
              <w:t>应</w:t>
            </w:r>
            <w:r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</w:rPr>
              <w:t>对施工现场进行科学管理，砂石料应统一堆放，露天堆存时应有防尘措施，</w:t>
            </w:r>
            <w:r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</w:rPr>
              <w:t>水泥应设置专门的堆棚堆放，尽量减少搬运环节</w:t>
            </w:r>
            <w:r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</w:rPr>
              <w:t>。</w:t>
            </w:r>
          </w:p>
          <w:p w:rsidR="00CF3AC3" w:rsidRDefault="00CC6533">
            <w:pPr>
              <w:pStyle w:val="Default"/>
              <w:spacing w:line="400" w:lineRule="exact"/>
              <w:rPr>
                <w:rFonts w:ascii="仿宋_GB2312" w:eastAsia="仿宋_GB2312" w:hAnsi="黑体" w:cs="Times New Roman"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</w:rPr>
              <w:t>（</w:t>
            </w:r>
            <w:r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</w:rPr>
              <w:t>4</w:t>
            </w:r>
            <w:r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</w:rPr>
              <w:t>）</w:t>
            </w:r>
            <w:r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</w:rPr>
              <w:t>建筑材料和建筑垃圾应及时清运；谨防运输车辆装载过满，并采取遮盖、密闭措施，减少其沿途遗撒，及时清运洒落在路面上的泥土和灰尘，定时洒水抑尘，减少运输过程中的扬尘。</w:t>
            </w:r>
          </w:p>
          <w:p w:rsidR="00CF3AC3" w:rsidRDefault="00CC6533">
            <w:pPr>
              <w:pStyle w:val="Default"/>
              <w:spacing w:line="400" w:lineRule="exact"/>
              <w:rPr>
                <w:rFonts w:ascii="仿宋_GB2312" w:eastAsia="仿宋_GB2312" w:hAnsi="黑体" w:cs="Times New Roman"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</w:rPr>
              <w:t>（</w:t>
            </w:r>
            <w:r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</w:rPr>
              <w:t>5</w:t>
            </w:r>
            <w:r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</w:rPr>
              <w:t>）</w:t>
            </w:r>
            <w:r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</w:rPr>
              <w:t>风速大时应停止施工作业，并对堆放的沙石等建筑材料进行遮盖处理；</w:t>
            </w:r>
          </w:p>
          <w:p w:rsidR="00CF3AC3" w:rsidRDefault="00CC6533">
            <w:pPr>
              <w:pStyle w:val="Default"/>
              <w:spacing w:line="400" w:lineRule="exact"/>
              <w:rPr>
                <w:rFonts w:ascii="仿宋_GB2312" w:eastAsia="仿宋_GB2312" w:hAnsi="黑体" w:cs="Times New Roman"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</w:rPr>
              <w:t>（</w:t>
            </w:r>
            <w:r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</w:rPr>
              <w:t>6</w:t>
            </w:r>
            <w:r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</w:rPr>
              <w:t>）</w:t>
            </w:r>
            <w:r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</w:rPr>
              <w:t>工程项目竣工后</w:t>
            </w:r>
            <w:r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</w:rPr>
              <w:t>30</w:t>
            </w:r>
            <w:r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</w:rPr>
              <w:t>日内，建设单位应当及时平整施工工地，清除积土、堆物，并同步做好绿化、场地硬化，避免水土流失。</w:t>
            </w:r>
          </w:p>
          <w:p w:rsidR="00CF3AC3" w:rsidRDefault="00CC6533">
            <w:pPr>
              <w:pStyle w:val="Default"/>
              <w:spacing w:line="400" w:lineRule="exact"/>
              <w:rPr>
                <w:rFonts w:ascii="仿宋_GB2312" w:eastAsia="仿宋_GB2312" w:hAnsi="黑体" w:cs="Times New Roman"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</w:rPr>
              <w:t>（</w:t>
            </w:r>
            <w:r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</w:rPr>
              <w:t>7</w:t>
            </w:r>
            <w:r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</w:rPr>
              <w:t>）</w:t>
            </w:r>
            <w:r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</w:rPr>
              <w:t>加强大型施工机械设备和车辆的管理，执行定期检查维护制度；运输车辆和施工机械发生故障和损坏，必须及时维修或更新，防止设备带病运行从而加大废气对环境空气的污染。</w:t>
            </w:r>
          </w:p>
        </w:tc>
        <w:tc>
          <w:tcPr>
            <w:tcW w:w="992" w:type="dxa"/>
            <w:vAlign w:val="center"/>
          </w:tcPr>
          <w:p w:rsidR="00CF3AC3" w:rsidRDefault="00CC6533">
            <w:pPr>
              <w:spacing w:line="400" w:lineRule="exact"/>
              <w:jc w:val="left"/>
              <w:rPr>
                <w:lang w:val="zh-CN"/>
              </w:rPr>
            </w:pPr>
            <w:r>
              <w:rPr>
                <w:rFonts w:ascii="仿宋_GB2312" w:eastAsia="仿宋_GB2312" w:hAnsi="黑体"/>
                <w:bCs/>
                <w:sz w:val="28"/>
                <w:szCs w:val="28"/>
              </w:rPr>
              <w:lastRenderedPageBreak/>
              <w:t>达到</w:t>
            </w:r>
            <w:r>
              <w:rPr>
                <w:rFonts w:ascii="仿宋_GB2312" w:eastAsia="仿宋_GB2312" w:hAnsi="黑体"/>
                <w:bCs/>
                <w:sz w:val="28"/>
                <w:szCs w:val="28"/>
              </w:rPr>
              <w:t>GB16297-19</w:t>
            </w:r>
            <w:r>
              <w:rPr>
                <w:rFonts w:ascii="仿宋_GB2312" w:eastAsia="仿宋_GB2312" w:hAnsi="黑体"/>
                <w:bCs/>
                <w:sz w:val="28"/>
                <w:szCs w:val="28"/>
              </w:rPr>
              <w:lastRenderedPageBreak/>
              <w:t>96</w:t>
            </w:r>
            <w:r>
              <w:rPr>
                <w:rFonts w:ascii="仿宋_GB2312" w:eastAsia="仿宋_GB2312" w:hAnsi="黑体"/>
                <w:bCs/>
                <w:sz w:val="28"/>
                <w:szCs w:val="28"/>
              </w:rPr>
              <w:t>《大气污染物综合排放标准》表</w:t>
            </w:r>
            <w:r>
              <w:rPr>
                <w:rFonts w:ascii="仿宋_GB2312" w:eastAsia="仿宋_GB2312" w:hAnsi="黑体"/>
                <w:bCs/>
                <w:sz w:val="28"/>
                <w:szCs w:val="28"/>
              </w:rPr>
              <w:t>2</w:t>
            </w:r>
            <w:r>
              <w:rPr>
                <w:rFonts w:ascii="仿宋_GB2312" w:eastAsia="仿宋_GB2312" w:hAnsi="黑体"/>
                <w:bCs/>
                <w:sz w:val="28"/>
                <w:szCs w:val="28"/>
              </w:rPr>
              <w:t>中颗粒物无组织排放标准</w:t>
            </w:r>
            <w:r w:rsidR="009111ED">
              <w:rPr>
                <w:rFonts w:ascii="仿宋_GB2312" w:eastAsia="仿宋_GB2312" w:hAnsi="黑体" w:hint="eastAsia"/>
                <w:bCs/>
                <w:sz w:val="28"/>
                <w:szCs w:val="28"/>
              </w:rPr>
              <w:t>，</w:t>
            </w:r>
            <w:r w:rsidR="009111ED" w:rsidRPr="009111ED">
              <w:rPr>
                <w:rFonts w:ascii="仿宋_GB2312" w:eastAsia="仿宋_GB2312" w:hAnsi="黑体" w:hint="eastAsia"/>
                <w:bCs/>
                <w:sz w:val="28"/>
                <w:szCs w:val="28"/>
              </w:rPr>
              <w:t>颗粒物≤1.0mg/m</w:t>
            </w:r>
            <w:r w:rsidR="009111ED" w:rsidRPr="009111ED">
              <w:rPr>
                <w:rFonts w:ascii="宋体" w:hAnsi="宋体" w:cs="宋体" w:hint="eastAsia"/>
                <w:bCs/>
                <w:sz w:val="28"/>
                <w:szCs w:val="28"/>
              </w:rPr>
              <w:t>³</w:t>
            </w:r>
            <w:r w:rsidR="009111ED" w:rsidRPr="009111ED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。</w:t>
            </w:r>
          </w:p>
        </w:tc>
      </w:tr>
      <w:tr w:rsidR="00CF3AC3">
        <w:tc>
          <w:tcPr>
            <w:tcW w:w="772" w:type="dxa"/>
            <w:vAlign w:val="center"/>
          </w:tcPr>
          <w:p w:rsidR="00CF3AC3" w:rsidRDefault="00CF3AC3">
            <w:pPr>
              <w:spacing w:line="5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588" w:type="dxa"/>
            <w:vAlign w:val="center"/>
          </w:tcPr>
          <w:p w:rsidR="00CF3AC3" w:rsidRDefault="00CC6533">
            <w:pPr>
              <w:spacing w:line="5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运营期</w:t>
            </w:r>
          </w:p>
        </w:tc>
        <w:tc>
          <w:tcPr>
            <w:tcW w:w="6970" w:type="dxa"/>
            <w:vAlign w:val="center"/>
          </w:tcPr>
          <w:p w:rsidR="0097020A" w:rsidRPr="0097020A" w:rsidRDefault="00CC6533" w:rsidP="0097020A">
            <w:pPr>
              <w:pStyle w:val="Default"/>
              <w:spacing w:line="400" w:lineRule="exact"/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</w:rPr>
              <w:t>（</w:t>
            </w:r>
            <w:r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</w:rPr>
              <w:t>1</w:t>
            </w:r>
            <w:r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</w:rPr>
              <w:t>）项目</w:t>
            </w:r>
            <w:r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</w:rPr>
              <w:t>在每间化学实验室各设置一套通风橱，</w:t>
            </w:r>
            <w:r w:rsidR="0097020A" w:rsidRPr="0097020A"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</w:rPr>
              <w:t>收集后经活性炭处理装置处</w:t>
            </w:r>
            <w:r w:rsidR="0097020A"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</w:rPr>
              <w:t>理经风机抽排至教学楼顶达标排</w:t>
            </w:r>
            <w:r w:rsidR="0097020A" w:rsidRPr="0097020A"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</w:rPr>
              <w:t>放</w:t>
            </w:r>
            <w:r w:rsidR="00F7650D"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</w:rPr>
              <w:t>。</w:t>
            </w:r>
          </w:p>
          <w:p w:rsidR="00CF3AC3" w:rsidRDefault="009615A5" w:rsidP="0097020A">
            <w:pPr>
              <w:pStyle w:val="Default"/>
              <w:spacing w:line="400" w:lineRule="exact"/>
              <w:rPr>
                <w:rFonts w:ascii="仿宋_GB2312" w:eastAsia="仿宋_GB2312" w:hAnsi="黑体" w:cs="Times New Roman"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</w:rPr>
              <w:t>（</w:t>
            </w:r>
            <w:r w:rsidR="0097020A" w:rsidRPr="0097020A"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</w:rPr>
              <w:t>2）食堂内设置油烟净化装置</w:t>
            </w:r>
            <w:r w:rsidR="00CC6533"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</w:rPr>
              <w:t>。</w:t>
            </w:r>
          </w:p>
          <w:p w:rsidR="00CF3AC3" w:rsidRDefault="00CC6533">
            <w:pPr>
              <w:pStyle w:val="Default"/>
              <w:spacing w:line="400" w:lineRule="exact"/>
              <w:rPr>
                <w:rFonts w:ascii="仿宋_GB2312" w:eastAsia="仿宋_GB2312" w:hAnsi="黑体" w:cs="Times New Roman"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</w:rPr>
              <w:t>（</w:t>
            </w:r>
            <w:r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</w:rPr>
              <w:t>3</w:t>
            </w:r>
            <w:r w:rsidR="001F0C48"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</w:rPr>
              <w:t>）建设单位</w:t>
            </w:r>
            <w:r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</w:rPr>
              <w:t>在停车区域进出口、中水处理站、化粪池等周边设计较多的绿化</w:t>
            </w:r>
            <w:r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</w:rPr>
              <w:t>。</w:t>
            </w:r>
          </w:p>
          <w:p w:rsidR="00CF3AC3" w:rsidRDefault="00CC6533">
            <w:pPr>
              <w:pStyle w:val="Default"/>
              <w:spacing w:line="400" w:lineRule="exact"/>
              <w:rPr>
                <w:rFonts w:ascii="仿宋_GB2312" w:eastAsia="仿宋_GB2312" w:hAnsi="黑体"/>
                <w:bCs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</w:rPr>
              <w:t>（</w:t>
            </w:r>
            <w:r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</w:rPr>
              <w:t>4</w:t>
            </w:r>
            <w:r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</w:rPr>
              <w:t>）备用发电机房及地下车库须设排风系统，排风系统排口尽量布置在绿化带内并设立明显标识</w:t>
            </w:r>
            <w:r>
              <w:rPr>
                <w:rFonts w:ascii="仿宋_GB2312" w:eastAsia="仿宋_GB2312" w:hAnsi="黑体"/>
                <w:bCs/>
                <w:sz w:val="28"/>
                <w:szCs w:val="28"/>
              </w:rPr>
              <w:t>。</w:t>
            </w:r>
          </w:p>
        </w:tc>
        <w:tc>
          <w:tcPr>
            <w:tcW w:w="992" w:type="dxa"/>
            <w:vAlign w:val="center"/>
          </w:tcPr>
          <w:p w:rsidR="00CF3AC3" w:rsidRDefault="00CC6533" w:rsidP="007C4152">
            <w:pPr>
              <w:spacing w:line="260" w:lineRule="exact"/>
              <w:ind w:firstLineChars="200" w:firstLine="300"/>
              <w:jc w:val="left"/>
              <w:rPr>
                <w:rFonts w:ascii="仿宋_GB2312" w:eastAsia="仿宋_GB2312" w:hAnsi="黑体"/>
                <w:bCs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外排废气须满足《大气污染物综合排放标准》（</w:t>
            </w:r>
            <w:r>
              <w:rPr>
                <w:rFonts w:ascii="仿宋_GB2312" w:eastAsia="仿宋_GB2312" w:hint="eastAsia"/>
                <w:sz w:val="15"/>
                <w:szCs w:val="15"/>
              </w:rPr>
              <w:t>GB16297-1996</w:t>
            </w:r>
            <w:r>
              <w:rPr>
                <w:rFonts w:ascii="仿宋_GB2312" w:eastAsia="仿宋_GB2312" w:hint="eastAsia"/>
                <w:sz w:val="15"/>
                <w:szCs w:val="15"/>
              </w:rPr>
              <w:t>）</w:t>
            </w:r>
            <w:r w:rsidR="007C4152">
              <w:rPr>
                <w:rFonts w:ascii="仿宋_GB2312" w:eastAsia="仿宋_GB2312" w:hint="eastAsia"/>
                <w:sz w:val="15"/>
                <w:szCs w:val="15"/>
              </w:rPr>
              <w:t>，《餐饮业油烟污染物排放要求》</w:t>
            </w:r>
            <w:r w:rsidR="007C4152" w:rsidRPr="007C4152">
              <w:rPr>
                <w:rFonts w:ascii="仿宋_GB2312" w:eastAsia="仿宋_GB2312" w:hint="eastAsia"/>
                <w:sz w:val="15"/>
                <w:szCs w:val="15"/>
              </w:rPr>
              <w:t>（DB5301/T50-2021）</w:t>
            </w:r>
          </w:p>
        </w:tc>
      </w:tr>
      <w:tr w:rsidR="00CF3AC3">
        <w:trPr>
          <w:trHeight w:val="90"/>
        </w:trPr>
        <w:tc>
          <w:tcPr>
            <w:tcW w:w="772" w:type="dxa"/>
            <w:vMerge w:val="restart"/>
            <w:vAlign w:val="center"/>
          </w:tcPr>
          <w:p w:rsidR="00CF3AC3" w:rsidRDefault="00CC6533">
            <w:pPr>
              <w:spacing w:line="5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声环境保护</w:t>
            </w:r>
            <w:r>
              <w:rPr>
                <w:rFonts w:ascii="仿宋_GB2312" w:eastAsia="仿宋_GB2312" w:hAnsi="黑体" w:hint="eastAsia"/>
                <w:sz w:val="28"/>
                <w:szCs w:val="28"/>
              </w:rPr>
              <w:lastRenderedPageBreak/>
              <w:t>措施</w:t>
            </w:r>
          </w:p>
        </w:tc>
        <w:tc>
          <w:tcPr>
            <w:tcW w:w="588" w:type="dxa"/>
            <w:vAlign w:val="center"/>
          </w:tcPr>
          <w:p w:rsidR="00CF3AC3" w:rsidRDefault="00CC6533">
            <w:pPr>
              <w:spacing w:line="5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lastRenderedPageBreak/>
              <w:t>施工期</w:t>
            </w:r>
          </w:p>
        </w:tc>
        <w:tc>
          <w:tcPr>
            <w:tcW w:w="6970" w:type="dxa"/>
            <w:vAlign w:val="center"/>
          </w:tcPr>
          <w:p w:rsidR="00CF3AC3" w:rsidRDefault="00CC6533">
            <w:pPr>
              <w:spacing w:line="400" w:lineRule="exact"/>
              <w:jc w:val="left"/>
              <w:rPr>
                <w:rFonts w:ascii="仿宋_GB2312" w:eastAsia="仿宋_GB2312" w:hAnsi="黑体"/>
                <w:bCs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黑体" w:hint="eastAsia"/>
                <w:bCs/>
                <w:sz w:val="28"/>
                <w:szCs w:val="28"/>
                <w:lang w:val="zh-CN"/>
              </w:rPr>
              <w:t>（</w:t>
            </w:r>
            <w:r>
              <w:rPr>
                <w:rFonts w:ascii="仿宋_GB2312" w:eastAsia="仿宋_GB2312" w:hAnsi="黑体" w:hint="eastAsia"/>
                <w:bCs/>
                <w:sz w:val="28"/>
                <w:szCs w:val="28"/>
              </w:rPr>
              <w:t>1</w:t>
            </w:r>
            <w:r>
              <w:rPr>
                <w:rFonts w:ascii="仿宋_GB2312" w:eastAsia="仿宋_GB2312" w:hAnsi="黑体" w:hint="eastAsia"/>
                <w:bCs/>
                <w:sz w:val="28"/>
                <w:szCs w:val="28"/>
                <w:lang w:val="zh-CN"/>
              </w:rPr>
              <w:t>）</w:t>
            </w:r>
            <w:r>
              <w:rPr>
                <w:rFonts w:ascii="仿宋_GB2312" w:eastAsia="仿宋_GB2312" w:hAnsi="黑体" w:hint="eastAsia"/>
                <w:bCs/>
                <w:sz w:val="28"/>
                <w:szCs w:val="28"/>
                <w:lang w:val="zh-CN"/>
              </w:rPr>
              <w:t>禁止在中午（</w:t>
            </w:r>
            <w:r>
              <w:rPr>
                <w:rFonts w:ascii="仿宋_GB2312" w:eastAsia="仿宋_GB2312" w:hAnsi="黑体" w:hint="eastAsia"/>
                <w:bCs/>
                <w:sz w:val="28"/>
                <w:szCs w:val="28"/>
                <w:lang w:val="zh-CN"/>
              </w:rPr>
              <w:t>12</w:t>
            </w:r>
            <w:r>
              <w:rPr>
                <w:rFonts w:ascii="仿宋_GB2312" w:eastAsia="仿宋_GB2312" w:hAnsi="黑体" w:hint="eastAsia"/>
                <w:bCs/>
                <w:sz w:val="28"/>
                <w:szCs w:val="28"/>
                <w:lang w:val="zh-CN"/>
              </w:rPr>
              <w:t>时至</w:t>
            </w:r>
            <w:r>
              <w:rPr>
                <w:rFonts w:ascii="仿宋_GB2312" w:eastAsia="仿宋_GB2312" w:hAnsi="黑体" w:hint="eastAsia"/>
                <w:bCs/>
                <w:sz w:val="28"/>
                <w:szCs w:val="28"/>
                <w:lang w:val="zh-CN"/>
              </w:rPr>
              <w:t>14</w:t>
            </w:r>
            <w:r>
              <w:rPr>
                <w:rFonts w:ascii="仿宋_GB2312" w:eastAsia="仿宋_GB2312" w:hAnsi="黑体" w:hint="eastAsia"/>
                <w:bCs/>
                <w:sz w:val="28"/>
                <w:szCs w:val="28"/>
                <w:lang w:val="zh-CN"/>
              </w:rPr>
              <w:t>时）、夜间（</w:t>
            </w:r>
            <w:r>
              <w:rPr>
                <w:rFonts w:ascii="仿宋_GB2312" w:eastAsia="仿宋_GB2312" w:hAnsi="黑体" w:hint="eastAsia"/>
                <w:bCs/>
                <w:sz w:val="28"/>
                <w:szCs w:val="28"/>
                <w:lang w:val="zh-CN"/>
              </w:rPr>
              <w:t>22</w:t>
            </w:r>
            <w:r>
              <w:rPr>
                <w:rFonts w:ascii="仿宋_GB2312" w:eastAsia="仿宋_GB2312" w:hAnsi="黑体" w:hint="eastAsia"/>
                <w:bCs/>
                <w:sz w:val="28"/>
                <w:szCs w:val="28"/>
                <w:lang w:val="zh-CN"/>
              </w:rPr>
              <w:t>时至次日</w:t>
            </w:r>
            <w:r>
              <w:rPr>
                <w:rFonts w:ascii="仿宋_GB2312" w:eastAsia="仿宋_GB2312" w:hAnsi="黑体" w:hint="eastAsia"/>
                <w:bCs/>
                <w:sz w:val="28"/>
                <w:szCs w:val="28"/>
                <w:lang w:val="zh-CN"/>
              </w:rPr>
              <w:t>6</w:t>
            </w:r>
            <w:r>
              <w:rPr>
                <w:rFonts w:ascii="仿宋_GB2312" w:eastAsia="仿宋_GB2312" w:hAnsi="黑体" w:hint="eastAsia"/>
                <w:bCs/>
                <w:sz w:val="28"/>
                <w:szCs w:val="28"/>
                <w:lang w:val="zh-CN"/>
              </w:rPr>
              <w:t>时）进行建筑施工作业</w:t>
            </w:r>
            <w:r w:rsidR="00472A6E">
              <w:rPr>
                <w:rFonts w:ascii="仿宋_GB2312" w:eastAsia="仿宋_GB2312" w:hAnsi="黑体" w:hint="eastAsia"/>
                <w:bCs/>
                <w:sz w:val="28"/>
                <w:szCs w:val="28"/>
                <w:lang w:val="zh-CN"/>
              </w:rPr>
              <w:t>；</w:t>
            </w:r>
            <w:r>
              <w:rPr>
                <w:rFonts w:ascii="仿宋_GB2312" w:eastAsia="仿宋_GB2312" w:hAnsi="黑体" w:hint="eastAsia"/>
                <w:bCs/>
                <w:sz w:val="28"/>
                <w:szCs w:val="28"/>
                <w:lang w:val="zh-CN"/>
              </w:rPr>
              <w:t>抢修、抢险作业和因混凝土浇灌等生产工艺需要连续作业的除外，必须报有关管理部门批准，才能施工作业。</w:t>
            </w:r>
          </w:p>
          <w:p w:rsidR="00CF3AC3" w:rsidRDefault="00CC6533">
            <w:pPr>
              <w:spacing w:line="400" w:lineRule="exact"/>
              <w:jc w:val="left"/>
              <w:rPr>
                <w:rFonts w:ascii="仿宋_GB2312" w:eastAsia="仿宋_GB2312" w:hAnsi="黑体"/>
                <w:bCs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黑体" w:hint="eastAsia"/>
                <w:bCs/>
                <w:sz w:val="28"/>
                <w:szCs w:val="28"/>
                <w:lang w:val="zh-CN"/>
              </w:rPr>
              <w:t>（</w:t>
            </w:r>
            <w:r>
              <w:rPr>
                <w:rFonts w:ascii="仿宋_GB2312" w:eastAsia="仿宋_GB2312" w:hAnsi="黑体" w:hint="eastAsia"/>
                <w:bCs/>
                <w:sz w:val="28"/>
                <w:szCs w:val="28"/>
              </w:rPr>
              <w:t>2</w:t>
            </w:r>
            <w:r>
              <w:rPr>
                <w:rFonts w:ascii="仿宋_GB2312" w:eastAsia="仿宋_GB2312" w:hAnsi="黑体" w:hint="eastAsia"/>
                <w:bCs/>
                <w:sz w:val="28"/>
                <w:szCs w:val="28"/>
                <w:lang w:val="zh-CN"/>
              </w:rPr>
              <w:t>）</w:t>
            </w:r>
            <w:r>
              <w:rPr>
                <w:rFonts w:ascii="仿宋_GB2312" w:eastAsia="仿宋_GB2312" w:hAnsi="黑体" w:hint="eastAsia"/>
                <w:bCs/>
                <w:sz w:val="28"/>
                <w:szCs w:val="28"/>
                <w:lang w:val="zh-CN"/>
              </w:rPr>
              <w:t>优先选用低噪声机械进行作业；</w:t>
            </w:r>
          </w:p>
          <w:p w:rsidR="00CF3AC3" w:rsidRDefault="00CC6533">
            <w:pPr>
              <w:spacing w:line="400" w:lineRule="exact"/>
              <w:jc w:val="left"/>
              <w:rPr>
                <w:rFonts w:ascii="仿宋_GB2312" w:eastAsia="仿宋_GB2312" w:hAnsi="黑体"/>
                <w:bCs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黑体" w:hint="eastAsia"/>
                <w:bCs/>
                <w:sz w:val="28"/>
                <w:szCs w:val="28"/>
                <w:lang w:val="zh-CN"/>
              </w:rPr>
              <w:t>（</w:t>
            </w:r>
            <w:r>
              <w:rPr>
                <w:rFonts w:ascii="仿宋_GB2312" w:eastAsia="仿宋_GB2312" w:hAnsi="黑体" w:hint="eastAsia"/>
                <w:bCs/>
                <w:sz w:val="28"/>
                <w:szCs w:val="28"/>
              </w:rPr>
              <w:t>3</w:t>
            </w:r>
            <w:r>
              <w:rPr>
                <w:rFonts w:ascii="仿宋_GB2312" w:eastAsia="仿宋_GB2312" w:hAnsi="黑体" w:hint="eastAsia"/>
                <w:bCs/>
                <w:sz w:val="28"/>
                <w:szCs w:val="28"/>
                <w:lang w:val="zh-CN"/>
              </w:rPr>
              <w:t>）</w:t>
            </w:r>
            <w:r>
              <w:rPr>
                <w:rFonts w:ascii="仿宋_GB2312" w:eastAsia="仿宋_GB2312" w:hAnsi="黑体" w:hint="eastAsia"/>
                <w:bCs/>
                <w:sz w:val="28"/>
                <w:szCs w:val="28"/>
                <w:lang w:val="zh-CN"/>
              </w:rPr>
              <w:t>施工机械</w:t>
            </w:r>
            <w:r>
              <w:rPr>
                <w:rFonts w:ascii="仿宋_GB2312" w:eastAsia="仿宋_GB2312" w:hAnsi="黑体" w:hint="eastAsia"/>
                <w:bCs/>
                <w:sz w:val="28"/>
                <w:szCs w:val="28"/>
              </w:rPr>
              <w:t>应</w:t>
            </w:r>
            <w:r>
              <w:rPr>
                <w:rFonts w:ascii="仿宋_GB2312" w:eastAsia="仿宋_GB2312" w:hAnsi="黑体" w:hint="eastAsia"/>
                <w:bCs/>
                <w:sz w:val="28"/>
                <w:szCs w:val="28"/>
                <w:lang w:val="zh-CN"/>
              </w:rPr>
              <w:t>尽量远离保护目标，并进行一定的隔声及减振处理；在不影响施工情况下将噪声设备尽量不集</w:t>
            </w:r>
            <w:r>
              <w:rPr>
                <w:rFonts w:ascii="仿宋_GB2312" w:eastAsia="仿宋_GB2312" w:hAnsi="黑体" w:hint="eastAsia"/>
                <w:bCs/>
                <w:sz w:val="28"/>
                <w:szCs w:val="28"/>
                <w:lang w:val="zh-CN"/>
              </w:rPr>
              <w:lastRenderedPageBreak/>
              <w:t>中安排；固定的机械设备尽量入棚操作；</w:t>
            </w:r>
          </w:p>
          <w:p w:rsidR="00CF3AC3" w:rsidRDefault="00CC6533">
            <w:pPr>
              <w:spacing w:line="400" w:lineRule="exact"/>
              <w:jc w:val="left"/>
              <w:rPr>
                <w:rFonts w:ascii="仿宋_GB2312" w:eastAsia="仿宋_GB2312" w:hAnsi="黑体"/>
                <w:bCs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黑体" w:hint="eastAsia"/>
                <w:bCs/>
                <w:sz w:val="28"/>
                <w:szCs w:val="28"/>
                <w:lang w:val="zh-CN"/>
              </w:rPr>
              <w:t>（</w:t>
            </w:r>
            <w:r>
              <w:rPr>
                <w:rFonts w:ascii="仿宋_GB2312" w:eastAsia="仿宋_GB2312" w:hAnsi="黑体" w:hint="eastAsia"/>
                <w:bCs/>
                <w:sz w:val="28"/>
                <w:szCs w:val="28"/>
              </w:rPr>
              <w:t>4</w:t>
            </w:r>
            <w:r>
              <w:rPr>
                <w:rFonts w:ascii="仿宋_GB2312" w:eastAsia="仿宋_GB2312" w:hAnsi="黑体" w:hint="eastAsia"/>
                <w:bCs/>
                <w:sz w:val="28"/>
                <w:szCs w:val="28"/>
                <w:lang w:val="zh-CN"/>
              </w:rPr>
              <w:t>）</w:t>
            </w:r>
            <w:r>
              <w:rPr>
                <w:rFonts w:ascii="仿宋_GB2312" w:eastAsia="仿宋_GB2312" w:hAnsi="黑体" w:hint="eastAsia"/>
                <w:bCs/>
                <w:sz w:val="28"/>
                <w:szCs w:val="28"/>
                <w:lang w:val="zh-CN"/>
              </w:rPr>
              <w:t>合理安排施工工序及时间，避免在同一时间集中</w:t>
            </w:r>
            <w:proofErr w:type="gramStart"/>
            <w:r>
              <w:rPr>
                <w:rFonts w:ascii="仿宋_GB2312" w:eastAsia="仿宋_GB2312" w:hAnsi="黑体" w:hint="eastAsia"/>
                <w:bCs/>
                <w:sz w:val="28"/>
                <w:szCs w:val="28"/>
                <w:lang w:val="zh-CN"/>
              </w:rPr>
              <w:t>使用高噪设备</w:t>
            </w:r>
            <w:proofErr w:type="gramEnd"/>
            <w:r>
              <w:rPr>
                <w:rFonts w:ascii="仿宋_GB2312" w:eastAsia="仿宋_GB2312" w:hAnsi="黑体" w:hint="eastAsia"/>
                <w:bCs/>
                <w:sz w:val="28"/>
                <w:szCs w:val="28"/>
                <w:lang w:val="zh-CN"/>
              </w:rPr>
              <w:t>；推土机、装载机和挖掘机作业在短期内完成，把施工机械噪声影响减至最低。</w:t>
            </w:r>
          </w:p>
          <w:p w:rsidR="00CF3AC3" w:rsidRDefault="00CC6533">
            <w:pPr>
              <w:spacing w:line="400" w:lineRule="exact"/>
              <w:jc w:val="left"/>
            </w:pPr>
            <w:r>
              <w:rPr>
                <w:rFonts w:ascii="仿宋_GB2312" w:eastAsia="仿宋_GB2312" w:hAnsi="黑体" w:hint="eastAsia"/>
                <w:bCs/>
                <w:sz w:val="28"/>
                <w:szCs w:val="28"/>
                <w:lang w:val="zh-CN"/>
              </w:rPr>
              <w:t>（</w:t>
            </w:r>
            <w:r>
              <w:rPr>
                <w:rFonts w:ascii="仿宋_GB2312" w:eastAsia="仿宋_GB2312" w:hAnsi="黑体" w:hint="eastAsia"/>
                <w:bCs/>
                <w:sz w:val="28"/>
                <w:szCs w:val="28"/>
              </w:rPr>
              <w:t>5</w:t>
            </w:r>
            <w:r>
              <w:rPr>
                <w:rFonts w:ascii="仿宋_GB2312" w:eastAsia="仿宋_GB2312" w:hAnsi="黑体" w:hint="eastAsia"/>
                <w:bCs/>
                <w:sz w:val="28"/>
                <w:szCs w:val="28"/>
                <w:lang w:val="zh-CN"/>
              </w:rPr>
              <w:t>）</w:t>
            </w:r>
            <w:r>
              <w:rPr>
                <w:rFonts w:ascii="仿宋_GB2312" w:eastAsia="仿宋_GB2312" w:hAnsi="黑体" w:hint="eastAsia"/>
                <w:bCs/>
                <w:sz w:val="28"/>
                <w:szCs w:val="28"/>
                <w:lang w:val="zh-CN"/>
              </w:rPr>
              <w:t>对于运输车辆噪声，应限制车速，减少夜间运输量，在靠近居民区附近时应限速，对运输车辆定期维修保养，减少或杜绝鸣笛，合理安排运输路线。</w:t>
            </w:r>
          </w:p>
        </w:tc>
        <w:tc>
          <w:tcPr>
            <w:tcW w:w="992" w:type="dxa"/>
            <w:vAlign w:val="center"/>
          </w:tcPr>
          <w:p w:rsidR="00CF3AC3" w:rsidRDefault="00CC6533">
            <w:pPr>
              <w:spacing w:line="400" w:lineRule="exact"/>
              <w:jc w:val="left"/>
              <w:rPr>
                <w:rFonts w:ascii="仿宋_GB2312" w:eastAsia="仿宋_GB2312" w:hAnsi="黑体"/>
                <w:bCs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黑体"/>
                <w:bCs/>
                <w:sz w:val="28"/>
                <w:szCs w:val="28"/>
              </w:rPr>
              <w:lastRenderedPageBreak/>
              <w:t>执行《建筑施工场界环境噪声排</w:t>
            </w:r>
            <w:r>
              <w:rPr>
                <w:rFonts w:ascii="仿宋_GB2312" w:eastAsia="仿宋_GB2312" w:hAnsi="黑体"/>
                <w:bCs/>
                <w:sz w:val="28"/>
                <w:szCs w:val="28"/>
              </w:rPr>
              <w:lastRenderedPageBreak/>
              <w:t>放标准》（</w:t>
            </w:r>
            <w:r>
              <w:rPr>
                <w:rFonts w:ascii="仿宋_GB2312" w:eastAsia="仿宋_GB2312" w:hAnsi="黑体"/>
                <w:bCs/>
                <w:sz w:val="28"/>
                <w:szCs w:val="28"/>
              </w:rPr>
              <w:t>GB12523-2011</w:t>
            </w:r>
            <w:r>
              <w:rPr>
                <w:rFonts w:ascii="仿宋_GB2312" w:eastAsia="仿宋_GB2312" w:hAnsi="黑体"/>
                <w:bCs/>
                <w:sz w:val="28"/>
                <w:szCs w:val="28"/>
              </w:rPr>
              <w:t>），即：昼间</w:t>
            </w:r>
            <w:r>
              <w:rPr>
                <w:rFonts w:ascii="仿宋_GB2312" w:eastAsia="仿宋_GB2312" w:hAnsi="黑体"/>
                <w:bCs/>
                <w:sz w:val="28"/>
                <w:szCs w:val="28"/>
              </w:rPr>
              <w:t>≤</w:t>
            </w:r>
            <w:r>
              <w:rPr>
                <w:rFonts w:ascii="仿宋_GB2312" w:eastAsia="仿宋_GB2312" w:hAnsi="黑体"/>
                <w:bCs/>
                <w:sz w:val="28"/>
                <w:szCs w:val="28"/>
              </w:rPr>
              <w:t>70dB</w:t>
            </w:r>
            <w:r>
              <w:rPr>
                <w:rFonts w:ascii="仿宋_GB2312" w:eastAsia="仿宋_GB2312" w:hAnsi="黑体"/>
                <w:bCs/>
                <w:sz w:val="28"/>
                <w:szCs w:val="28"/>
              </w:rPr>
              <w:t>（</w:t>
            </w:r>
            <w:r>
              <w:rPr>
                <w:rFonts w:ascii="仿宋_GB2312" w:eastAsia="仿宋_GB2312" w:hAnsi="黑体"/>
                <w:bCs/>
                <w:sz w:val="28"/>
                <w:szCs w:val="28"/>
              </w:rPr>
              <w:t>A</w:t>
            </w:r>
            <w:r>
              <w:rPr>
                <w:rFonts w:ascii="仿宋_GB2312" w:eastAsia="仿宋_GB2312" w:hAnsi="黑体"/>
                <w:bCs/>
                <w:sz w:val="28"/>
                <w:szCs w:val="28"/>
              </w:rPr>
              <w:t>）</w:t>
            </w:r>
            <w:r>
              <w:rPr>
                <w:rFonts w:ascii="仿宋_GB2312" w:eastAsia="仿宋_GB2312" w:hAnsi="黑体" w:hint="eastAsia"/>
                <w:bCs/>
                <w:sz w:val="28"/>
                <w:szCs w:val="28"/>
              </w:rPr>
              <w:t>，夜间</w:t>
            </w:r>
            <w:r>
              <w:rPr>
                <w:rFonts w:ascii="仿宋_GB2312" w:eastAsia="仿宋_GB2312" w:hAnsi="黑体"/>
                <w:bCs/>
                <w:sz w:val="28"/>
                <w:szCs w:val="28"/>
              </w:rPr>
              <w:t>≤</w:t>
            </w:r>
            <w:r>
              <w:rPr>
                <w:rFonts w:ascii="仿宋_GB2312" w:eastAsia="仿宋_GB2312" w:hAnsi="黑体" w:hint="eastAsia"/>
                <w:bCs/>
                <w:sz w:val="28"/>
                <w:szCs w:val="28"/>
              </w:rPr>
              <w:t>55</w:t>
            </w:r>
            <w:r>
              <w:rPr>
                <w:rFonts w:ascii="仿宋_GB2312" w:eastAsia="仿宋_GB2312" w:hAnsi="黑体"/>
                <w:bCs/>
                <w:sz w:val="28"/>
                <w:szCs w:val="28"/>
              </w:rPr>
              <w:t>dB</w:t>
            </w:r>
            <w:r>
              <w:rPr>
                <w:rFonts w:ascii="仿宋_GB2312" w:eastAsia="仿宋_GB2312" w:hAnsi="黑体"/>
                <w:bCs/>
                <w:sz w:val="28"/>
                <w:szCs w:val="28"/>
              </w:rPr>
              <w:t>（</w:t>
            </w:r>
            <w:r>
              <w:rPr>
                <w:rFonts w:ascii="仿宋_GB2312" w:eastAsia="仿宋_GB2312" w:hAnsi="黑体"/>
                <w:bCs/>
                <w:sz w:val="28"/>
                <w:szCs w:val="28"/>
              </w:rPr>
              <w:t>A</w:t>
            </w:r>
            <w:r>
              <w:rPr>
                <w:rFonts w:ascii="仿宋_GB2312" w:eastAsia="仿宋_GB2312" w:hAnsi="黑体"/>
                <w:bCs/>
                <w:sz w:val="28"/>
                <w:szCs w:val="28"/>
              </w:rPr>
              <w:t>）。</w:t>
            </w:r>
          </w:p>
        </w:tc>
      </w:tr>
      <w:tr w:rsidR="00CF3AC3">
        <w:trPr>
          <w:trHeight w:val="3757"/>
        </w:trPr>
        <w:tc>
          <w:tcPr>
            <w:tcW w:w="772" w:type="dxa"/>
            <w:vMerge/>
            <w:vAlign w:val="center"/>
          </w:tcPr>
          <w:p w:rsidR="00CF3AC3" w:rsidRDefault="00CF3AC3">
            <w:pPr>
              <w:spacing w:line="5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588" w:type="dxa"/>
            <w:vAlign w:val="center"/>
          </w:tcPr>
          <w:p w:rsidR="00CF3AC3" w:rsidRDefault="00CC6533">
            <w:pPr>
              <w:spacing w:line="5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运营期</w:t>
            </w:r>
          </w:p>
        </w:tc>
        <w:tc>
          <w:tcPr>
            <w:tcW w:w="6970" w:type="dxa"/>
            <w:vAlign w:val="center"/>
          </w:tcPr>
          <w:p w:rsidR="00CF3AC3" w:rsidRDefault="00CC6533">
            <w:pPr>
              <w:pStyle w:val="Default"/>
              <w:spacing w:line="400" w:lineRule="exact"/>
              <w:rPr>
                <w:rFonts w:ascii="仿宋_GB2312" w:eastAsia="仿宋_GB2312" w:hAnsi="黑体" w:cs="Times New Roman"/>
                <w:bCs/>
                <w:color w:val="auto"/>
                <w:kern w:val="2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  <w:lang w:val="zh-CN"/>
              </w:rPr>
              <w:t>（</w:t>
            </w:r>
            <w:r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</w:rPr>
              <w:t>1</w:t>
            </w:r>
            <w:r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  <w:lang w:val="zh-CN"/>
              </w:rPr>
              <w:t>）加强校园内活动设备噪声管理，控制使用高音及重低音喇叭数量的声压级。广播设备的开放时间要严格控制，避免在夜间</w:t>
            </w:r>
            <w:r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  <w:lang w:val="zh-CN"/>
              </w:rPr>
              <w:t>10</w:t>
            </w:r>
            <w:r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  <w:lang w:val="zh-CN"/>
              </w:rPr>
              <w:t>点后与中午</w:t>
            </w:r>
            <w:r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  <w:lang w:val="zh-CN"/>
              </w:rPr>
              <w:t>12</w:t>
            </w:r>
            <w:r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  <w:lang w:val="zh-CN"/>
              </w:rPr>
              <w:t>点到下午</w:t>
            </w:r>
            <w:r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  <w:lang w:val="zh-CN"/>
              </w:rPr>
              <w:t>2</w:t>
            </w:r>
            <w:r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  <w:lang w:val="zh-CN"/>
              </w:rPr>
              <w:t>点之间开放，不得私自延长广播开放时间，以免影响到敏感点居民的正常休息。</w:t>
            </w:r>
          </w:p>
          <w:p w:rsidR="00CF3AC3" w:rsidRDefault="00CC6533">
            <w:pPr>
              <w:pStyle w:val="Default"/>
              <w:spacing w:line="400" w:lineRule="exact"/>
              <w:rPr>
                <w:rFonts w:ascii="仿宋_GB2312" w:eastAsia="仿宋_GB2312" w:hAnsi="黑体" w:cs="Times New Roman"/>
                <w:bCs/>
                <w:color w:val="auto"/>
                <w:kern w:val="2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  <w:lang w:val="zh-CN"/>
              </w:rPr>
              <w:t>（</w:t>
            </w:r>
            <w:r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</w:rPr>
              <w:t>2</w:t>
            </w:r>
            <w:r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  <w:lang w:val="zh-CN"/>
              </w:rPr>
              <w:t>）校园区空地加强绿化，加密、加宽项目边界外的绿化隔离带并采用加强管理，以达到削减噪声的效果。</w:t>
            </w:r>
          </w:p>
          <w:p w:rsidR="00CF3AC3" w:rsidRDefault="00CC6533">
            <w:pPr>
              <w:pStyle w:val="Default"/>
              <w:spacing w:line="400" w:lineRule="exact"/>
              <w:rPr>
                <w:rFonts w:ascii="仿宋_GB2312" w:eastAsia="仿宋_GB2312" w:hAnsi="黑体" w:cs="Times New Roman"/>
                <w:bCs/>
                <w:color w:val="auto"/>
                <w:kern w:val="2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  <w:lang w:val="zh-CN"/>
              </w:rPr>
              <w:t>（</w:t>
            </w:r>
            <w:r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</w:rPr>
              <w:t>3</w:t>
            </w:r>
            <w:r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  <w:lang w:val="zh-CN"/>
              </w:rPr>
              <w:t>）</w:t>
            </w:r>
            <w:r w:rsidR="00767B2E"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  <w:lang w:val="zh-CN"/>
              </w:rPr>
              <w:t>相关服务设施合理布设，采用低噪声设备，安装减振设施等措施降低噪声影响</w:t>
            </w:r>
            <w:r>
              <w:rPr>
                <w:rFonts w:ascii="仿宋_GB2312" w:eastAsia="仿宋_GB2312" w:hAnsi="黑体" w:cs="Times New Roman" w:hint="eastAsia"/>
                <w:bCs/>
                <w:color w:val="auto"/>
                <w:kern w:val="2"/>
                <w:sz w:val="28"/>
                <w:szCs w:val="28"/>
                <w:lang w:val="zh-CN"/>
              </w:rPr>
              <w:t>。</w:t>
            </w:r>
          </w:p>
          <w:p w:rsidR="00CF3AC3" w:rsidRDefault="00CF3AC3">
            <w:pPr>
              <w:pStyle w:val="Default"/>
              <w:rPr>
                <w:lang w:val="zh-CN"/>
              </w:rPr>
            </w:pPr>
          </w:p>
        </w:tc>
        <w:tc>
          <w:tcPr>
            <w:tcW w:w="992" w:type="dxa"/>
            <w:vAlign w:val="center"/>
          </w:tcPr>
          <w:p w:rsidR="00CF3AC3" w:rsidRDefault="00CC6533">
            <w:pPr>
              <w:spacing w:line="240" w:lineRule="exact"/>
              <w:jc w:val="left"/>
              <w:rPr>
                <w:rFonts w:ascii="仿宋_GB2312" w:eastAsia="仿宋_GB2312" w:hAnsi="黑体"/>
                <w:bCs/>
                <w:sz w:val="15"/>
                <w:szCs w:val="15"/>
                <w:lang w:val="zh-CN"/>
              </w:rPr>
            </w:pPr>
            <w:r>
              <w:rPr>
                <w:rFonts w:ascii="仿宋_GB2312" w:eastAsia="仿宋_GB2312" w:hAnsi="黑体"/>
                <w:bCs/>
                <w:sz w:val="15"/>
                <w:szCs w:val="15"/>
              </w:rPr>
              <w:t>场界噪声</w:t>
            </w:r>
            <w:r>
              <w:rPr>
                <w:rFonts w:ascii="仿宋_GB2312" w:eastAsia="仿宋_GB2312" w:hAnsi="黑体" w:hint="eastAsia"/>
                <w:bCs/>
                <w:sz w:val="15"/>
                <w:szCs w:val="15"/>
              </w:rPr>
              <w:t>须</w:t>
            </w:r>
            <w:r>
              <w:rPr>
                <w:rFonts w:ascii="仿宋_GB2312" w:eastAsia="仿宋_GB2312" w:hAnsi="黑体"/>
                <w:bCs/>
                <w:sz w:val="15"/>
                <w:szCs w:val="15"/>
              </w:rPr>
              <w:t>满足《工业</w:t>
            </w:r>
            <w:r>
              <w:rPr>
                <w:rFonts w:ascii="仿宋_GB2312" w:eastAsia="仿宋_GB2312" w:hAnsi="黑体" w:hint="eastAsia"/>
                <w:bCs/>
                <w:sz w:val="15"/>
                <w:szCs w:val="15"/>
              </w:rPr>
              <w:t>企业厂界环境噪声排放标准》</w:t>
            </w:r>
            <w:r>
              <w:rPr>
                <w:rFonts w:ascii="仿宋_GB2312" w:eastAsia="仿宋_GB2312" w:hAnsi="黑体" w:hint="eastAsia"/>
                <w:bCs/>
                <w:sz w:val="15"/>
                <w:szCs w:val="15"/>
              </w:rPr>
              <w:t>(GB12348-2008)1</w:t>
            </w:r>
            <w:r>
              <w:rPr>
                <w:rFonts w:ascii="仿宋_GB2312" w:eastAsia="仿宋_GB2312" w:hAnsi="黑体" w:hint="eastAsia"/>
                <w:bCs/>
                <w:sz w:val="15"/>
                <w:szCs w:val="15"/>
              </w:rPr>
              <w:t>类标准，即昼</w:t>
            </w:r>
            <w:r>
              <w:rPr>
                <w:rFonts w:ascii="仿宋_GB2312" w:eastAsia="仿宋_GB2312" w:hAnsi="黑体"/>
                <w:bCs/>
                <w:sz w:val="15"/>
                <w:szCs w:val="15"/>
              </w:rPr>
              <w:t>≤</w:t>
            </w:r>
            <w:r>
              <w:rPr>
                <w:rFonts w:ascii="仿宋_GB2312" w:eastAsia="仿宋_GB2312" w:hAnsi="黑体" w:hint="eastAsia"/>
                <w:bCs/>
                <w:sz w:val="15"/>
                <w:szCs w:val="15"/>
              </w:rPr>
              <w:t>55dB</w:t>
            </w:r>
            <w:r>
              <w:rPr>
                <w:rFonts w:ascii="仿宋_GB2312" w:eastAsia="仿宋_GB2312" w:hAnsi="黑体" w:hint="eastAsia"/>
                <w:bCs/>
                <w:sz w:val="15"/>
                <w:szCs w:val="15"/>
              </w:rPr>
              <w:t>（</w:t>
            </w:r>
            <w:r>
              <w:rPr>
                <w:rFonts w:ascii="仿宋_GB2312" w:eastAsia="仿宋_GB2312" w:hAnsi="黑体" w:hint="eastAsia"/>
                <w:bCs/>
                <w:sz w:val="15"/>
                <w:szCs w:val="15"/>
              </w:rPr>
              <w:t>A</w:t>
            </w:r>
            <w:r>
              <w:rPr>
                <w:rFonts w:ascii="仿宋_GB2312" w:eastAsia="仿宋_GB2312" w:hAnsi="黑体" w:hint="eastAsia"/>
                <w:bCs/>
                <w:sz w:val="15"/>
                <w:szCs w:val="15"/>
              </w:rPr>
              <w:t>）、夜间≤</w:t>
            </w:r>
            <w:r>
              <w:rPr>
                <w:rFonts w:ascii="仿宋_GB2312" w:eastAsia="仿宋_GB2312" w:hAnsi="黑体" w:hint="eastAsia"/>
                <w:bCs/>
                <w:sz w:val="15"/>
                <w:szCs w:val="15"/>
              </w:rPr>
              <w:t>45dB</w:t>
            </w:r>
            <w:r>
              <w:rPr>
                <w:rFonts w:ascii="仿宋_GB2312" w:eastAsia="仿宋_GB2312" w:hAnsi="黑体" w:hint="eastAsia"/>
                <w:bCs/>
                <w:sz w:val="15"/>
                <w:szCs w:val="15"/>
              </w:rPr>
              <w:t>（</w:t>
            </w:r>
            <w:r>
              <w:rPr>
                <w:rFonts w:ascii="仿宋_GB2312" w:eastAsia="仿宋_GB2312" w:hAnsi="黑体" w:hint="eastAsia"/>
                <w:bCs/>
                <w:sz w:val="15"/>
                <w:szCs w:val="15"/>
              </w:rPr>
              <w:t>A</w:t>
            </w:r>
            <w:r>
              <w:rPr>
                <w:rFonts w:ascii="仿宋_GB2312" w:eastAsia="仿宋_GB2312" w:hAnsi="黑体" w:hint="eastAsia"/>
                <w:bCs/>
                <w:sz w:val="15"/>
                <w:szCs w:val="15"/>
              </w:rPr>
              <w:t>）。</w:t>
            </w:r>
          </w:p>
        </w:tc>
      </w:tr>
      <w:tr w:rsidR="00CF3AC3">
        <w:trPr>
          <w:trHeight w:val="90"/>
        </w:trPr>
        <w:tc>
          <w:tcPr>
            <w:tcW w:w="772" w:type="dxa"/>
            <w:vMerge w:val="restart"/>
            <w:vAlign w:val="center"/>
          </w:tcPr>
          <w:p w:rsidR="00CF3AC3" w:rsidRDefault="00CC6533">
            <w:pPr>
              <w:spacing w:line="5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固体废物处置措</w:t>
            </w:r>
            <w:r>
              <w:rPr>
                <w:rFonts w:ascii="仿宋_GB2312" w:eastAsia="仿宋_GB2312" w:hAnsi="黑体" w:hint="eastAsia"/>
                <w:sz w:val="28"/>
                <w:szCs w:val="28"/>
              </w:rPr>
              <w:lastRenderedPageBreak/>
              <w:t>施</w:t>
            </w:r>
          </w:p>
        </w:tc>
        <w:tc>
          <w:tcPr>
            <w:tcW w:w="588" w:type="dxa"/>
            <w:vAlign w:val="center"/>
          </w:tcPr>
          <w:p w:rsidR="00CF3AC3" w:rsidRDefault="00CC6533">
            <w:pPr>
              <w:spacing w:line="5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lastRenderedPageBreak/>
              <w:t>施工期</w:t>
            </w:r>
          </w:p>
        </w:tc>
        <w:tc>
          <w:tcPr>
            <w:tcW w:w="6970" w:type="dxa"/>
            <w:vAlign w:val="center"/>
          </w:tcPr>
          <w:p w:rsidR="002A4C13" w:rsidRDefault="002A4C13" w:rsidP="002A4C13">
            <w:pPr>
              <w:spacing w:line="400" w:lineRule="exact"/>
              <w:jc w:val="left"/>
              <w:rPr>
                <w:rFonts w:ascii="仿宋_GB2312" w:eastAsia="仿宋_GB2312" w:hAnsi="黑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Cs/>
                <w:sz w:val="28"/>
                <w:szCs w:val="28"/>
              </w:rPr>
              <w:t>（1）施工人员的生活垃圾经收集后委托</w:t>
            </w:r>
            <w:r w:rsidRPr="002A4C13">
              <w:rPr>
                <w:rFonts w:ascii="仿宋_GB2312" w:eastAsia="仿宋_GB2312" w:hAnsi="黑体" w:hint="eastAsia"/>
                <w:bCs/>
                <w:sz w:val="28"/>
                <w:szCs w:val="28"/>
              </w:rPr>
              <w:t>当地环卫部门定期清运处理</w:t>
            </w:r>
            <w:r>
              <w:rPr>
                <w:rFonts w:ascii="仿宋_GB2312" w:eastAsia="仿宋_GB2312" w:hAnsi="黑体" w:hint="eastAsia"/>
                <w:bCs/>
                <w:sz w:val="28"/>
                <w:szCs w:val="28"/>
              </w:rPr>
              <w:t>。</w:t>
            </w:r>
          </w:p>
          <w:p w:rsidR="00CF3AC3" w:rsidRPr="002A4C13" w:rsidRDefault="002A4C13" w:rsidP="002A4C13">
            <w:pPr>
              <w:spacing w:line="400" w:lineRule="exact"/>
              <w:jc w:val="left"/>
              <w:rPr>
                <w:rFonts w:ascii="仿宋_GB2312" w:eastAsia="仿宋_GB2312" w:hAnsi="黑体"/>
                <w:bCs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Cs/>
                <w:sz w:val="28"/>
                <w:szCs w:val="28"/>
              </w:rPr>
              <w:t>（2）</w:t>
            </w:r>
            <w:r w:rsidRPr="002A4C13">
              <w:rPr>
                <w:rFonts w:ascii="仿宋_GB2312" w:eastAsia="仿宋_GB2312" w:hAnsi="黑体" w:hint="eastAsia"/>
                <w:bCs/>
                <w:sz w:val="28"/>
                <w:szCs w:val="28"/>
              </w:rPr>
              <w:t>施工产生的建筑垃圾，在工地上设置临时堆放场所，将建筑废料统一收集，施工期结束后能回收利用的回收利用，不能回收利用的需拉至合法的弃渣场进行处置</w:t>
            </w:r>
            <w:r>
              <w:rPr>
                <w:rFonts w:ascii="仿宋_GB2312" w:eastAsia="仿宋_GB2312" w:hAnsi="黑体" w:hint="eastAsia"/>
                <w:bCs/>
                <w:sz w:val="28"/>
                <w:szCs w:val="28"/>
              </w:rPr>
              <w:t>。（3）</w:t>
            </w:r>
            <w:r w:rsidRPr="002A4C13">
              <w:rPr>
                <w:rFonts w:ascii="仿宋_GB2312" w:eastAsia="仿宋_GB2312" w:hAnsi="黑体" w:hint="eastAsia"/>
                <w:bCs/>
                <w:sz w:val="28"/>
                <w:szCs w:val="28"/>
              </w:rPr>
              <w:t>废弃土石方拉至合法的弃渣场进行处置</w:t>
            </w:r>
          </w:p>
        </w:tc>
        <w:tc>
          <w:tcPr>
            <w:tcW w:w="992" w:type="dxa"/>
            <w:vAlign w:val="center"/>
          </w:tcPr>
          <w:p w:rsidR="00CF3AC3" w:rsidRDefault="00CC6533">
            <w:pPr>
              <w:spacing w:line="400" w:lineRule="exact"/>
              <w:jc w:val="left"/>
              <w:rPr>
                <w:rFonts w:ascii="仿宋_GB2312" w:eastAsia="仿宋_GB2312" w:hAnsi="黑体"/>
                <w:bCs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黑体"/>
                <w:bCs/>
                <w:sz w:val="28"/>
                <w:szCs w:val="28"/>
              </w:rPr>
              <w:t>固废处置率</w:t>
            </w:r>
            <w:r>
              <w:rPr>
                <w:rFonts w:ascii="仿宋_GB2312" w:eastAsia="仿宋_GB2312" w:hAnsi="黑体"/>
                <w:bCs/>
                <w:sz w:val="28"/>
                <w:szCs w:val="28"/>
              </w:rPr>
              <w:t>100%</w:t>
            </w:r>
          </w:p>
        </w:tc>
      </w:tr>
      <w:tr w:rsidR="00CF3AC3">
        <w:trPr>
          <w:trHeight w:val="1561"/>
        </w:trPr>
        <w:tc>
          <w:tcPr>
            <w:tcW w:w="772" w:type="dxa"/>
            <w:vMerge/>
            <w:vAlign w:val="center"/>
          </w:tcPr>
          <w:p w:rsidR="00CF3AC3" w:rsidRDefault="00CF3AC3">
            <w:pPr>
              <w:spacing w:line="5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588" w:type="dxa"/>
            <w:vAlign w:val="center"/>
          </w:tcPr>
          <w:p w:rsidR="00CF3AC3" w:rsidRDefault="00CC6533">
            <w:pPr>
              <w:spacing w:line="5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运营</w:t>
            </w:r>
            <w:r>
              <w:rPr>
                <w:rFonts w:ascii="仿宋_GB2312" w:eastAsia="仿宋_GB2312" w:hAnsi="黑体" w:hint="eastAsia"/>
                <w:sz w:val="28"/>
                <w:szCs w:val="28"/>
              </w:rPr>
              <w:lastRenderedPageBreak/>
              <w:t>期</w:t>
            </w:r>
          </w:p>
        </w:tc>
        <w:tc>
          <w:tcPr>
            <w:tcW w:w="6970" w:type="dxa"/>
            <w:vAlign w:val="center"/>
          </w:tcPr>
          <w:p w:rsidR="00CF3AC3" w:rsidRDefault="00CC6533">
            <w:pPr>
              <w:spacing w:line="400" w:lineRule="exact"/>
              <w:jc w:val="left"/>
              <w:rPr>
                <w:rFonts w:ascii="仿宋_GB2312" w:eastAsia="仿宋_GB2312" w:hAnsi="黑体"/>
                <w:bCs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黑体" w:hint="eastAsia"/>
                <w:bCs/>
                <w:sz w:val="28"/>
                <w:szCs w:val="28"/>
                <w:lang w:val="zh-CN"/>
              </w:rPr>
              <w:lastRenderedPageBreak/>
              <w:t>（</w:t>
            </w:r>
            <w:r>
              <w:rPr>
                <w:rFonts w:ascii="仿宋_GB2312" w:eastAsia="仿宋_GB2312" w:hAnsi="黑体" w:hint="eastAsia"/>
                <w:bCs/>
                <w:sz w:val="28"/>
                <w:szCs w:val="28"/>
              </w:rPr>
              <w:t>1</w:t>
            </w:r>
            <w:r>
              <w:rPr>
                <w:rFonts w:ascii="仿宋_GB2312" w:eastAsia="仿宋_GB2312" w:hAnsi="黑体" w:hint="eastAsia"/>
                <w:bCs/>
                <w:sz w:val="28"/>
                <w:szCs w:val="28"/>
                <w:lang w:val="zh-CN"/>
              </w:rPr>
              <w:t>）</w:t>
            </w:r>
            <w:r w:rsidR="004E5C5B">
              <w:rPr>
                <w:rFonts w:ascii="仿宋_GB2312" w:eastAsia="仿宋_GB2312" w:hAnsi="黑体" w:hint="eastAsia"/>
                <w:bCs/>
                <w:sz w:val="28"/>
                <w:szCs w:val="28"/>
              </w:rPr>
              <w:t>生活垃圾经分类收集后有环卫部门处理</w:t>
            </w:r>
            <w:r>
              <w:rPr>
                <w:rFonts w:ascii="仿宋_GB2312" w:eastAsia="仿宋_GB2312" w:hAnsi="黑体" w:hint="eastAsia"/>
                <w:bCs/>
                <w:sz w:val="28"/>
                <w:szCs w:val="28"/>
                <w:lang w:val="zh-CN"/>
              </w:rPr>
              <w:t>，做到日产日清。</w:t>
            </w:r>
          </w:p>
          <w:p w:rsidR="00CF3AC3" w:rsidRDefault="00CC6533">
            <w:pPr>
              <w:spacing w:line="400" w:lineRule="exact"/>
              <w:jc w:val="left"/>
              <w:rPr>
                <w:rFonts w:ascii="仿宋_GB2312" w:eastAsia="仿宋_GB2312" w:hAnsi="黑体"/>
                <w:bCs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Cs/>
                <w:sz w:val="28"/>
                <w:szCs w:val="28"/>
                <w:lang w:val="zh-CN"/>
              </w:rPr>
              <w:t>（</w:t>
            </w:r>
            <w:r>
              <w:rPr>
                <w:rFonts w:ascii="仿宋_GB2312" w:eastAsia="仿宋_GB2312" w:hAnsi="黑体" w:hint="eastAsia"/>
                <w:bCs/>
                <w:sz w:val="28"/>
                <w:szCs w:val="28"/>
                <w:lang w:val="zh-CN"/>
              </w:rPr>
              <w:t>2</w:t>
            </w:r>
            <w:r>
              <w:rPr>
                <w:rFonts w:ascii="仿宋_GB2312" w:eastAsia="仿宋_GB2312" w:hAnsi="黑体" w:hint="eastAsia"/>
                <w:bCs/>
                <w:sz w:val="28"/>
                <w:szCs w:val="28"/>
                <w:lang w:val="zh-CN"/>
              </w:rPr>
              <w:t>）</w:t>
            </w:r>
            <w:r w:rsidR="009C51CD">
              <w:rPr>
                <w:rFonts w:ascii="仿宋_GB2312" w:eastAsia="仿宋_GB2312" w:hAnsi="黑体" w:hint="eastAsia"/>
                <w:bCs/>
                <w:sz w:val="28"/>
                <w:szCs w:val="28"/>
                <w:lang w:val="zh-CN"/>
              </w:rPr>
              <w:t>餐厨垃圾、废油脂</w:t>
            </w:r>
            <w:r w:rsidR="009C51CD">
              <w:rPr>
                <w:rFonts w:ascii="仿宋_GB2312" w:eastAsia="仿宋_GB2312" w:hAnsi="黑体" w:hint="eastAsia"/>
                <w:bCs/>
                <w:sz w:val="28"/>
                <w:szCs w:val="28"/>
              </w:rPr>
              <w:t>交由有相应处理资质单位回收处</w:t>
            </w:r>
            <w:r w:rsidR="009C51CD">
              <w:rPr>
                <w:rFonts w:ascii="仿宋_GB2312" w:eastAsia="仿宋_GB2312" w:hAnsi="黑体" w:hint="eastAsia"/>
                <w:bCs/>
                <w:sz w:val="28"/>
                <w:szCs w:val="28"/>
              </w:rPr>
              <w:lastRenderedPageBreak/>
              <w:t>理，做到日产日清</w:t>
            </w:r>
            <w:r>
              <w:rPr>
                <w:rFonts w:ascii="仿宋_GB2312" w:eastAsia="仿宋_GB2312" w:hAnsi="黑体" w:hint="eastAsia"/>
                <w:bCs/>
                <w:sz w:val="28"/>
                <w:szCs w:val="28"/>
              </w:rPr>
              <w:t>。</w:t>
            </w:r>
          </w:p>
          <w:p w:rsidR="00CF3AC3" w:rsidRDefault="00CC6533">
            <w:pPr>
              <w:spacing w:line="400" w:lineRule="exact"/>
              <w:jc w:val="left"/>
              <w:rPr>
                <w:rFonts w:ascii="仿宋_GB2312" w:eastAsia="仿宋_GB2312" w:hAnsi="黑体"/>
                <w:bCs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黑体" w:hint="eastAsia"/>
                <w:bCs/>
                <w:sz w:val="28"/>
                <w:szCs w:val="28"/>
              </w:rPr>
              <w:t>（</w:t>
            </w:r>
            <w:r>
              <w:rPr>
                <w:rFonts w:ascii="仿宋_GB2312" w:eastAsia="仿宋_GB2312" w:hAnsi="黑体" w:hint="eastAsia"/>
                <w:bCs/>
                <w:sz w:val="28"/>
                <w:szCs w:val="28"/>
              </w:rPr>
              <w:t>3</w:t>
            </w:r>
            <w:r>
              <w:rPr>
                <w:rFonts w:ascii="仿宋_GB2312" w:eastAsia="仿宋_GB2312" w:hAnsi="黑体" w:hint="eastAsia"/>
                <w:bCs/>
                <w:sz w:val="28"/>
                <w:szCs w:val="28"/>
              </w:rPr>
              <w:t>）</w:t>
            </w:r>
            <w:r>
              <w:rPr>
                <w:rFonts w:ascii="仿宋_GB2312" w:eastAsia="仿宋_GB2312" w:hAnsi="黑体" w:hint="eastAsia"/>
                <w:bCs/>
                <w:sz w:val="28"/>
                <w:szCs w:val="28"/>
                <w:lang w:val="zh-CN"/>
              </w:rPr>
              <w:t>危险废物应委托具有危险废物经营资质的单位统一收集并妥善处置；同时，项目</w:t>
            </w:r>
            <w:r>
              <w:rPr>
                <w:rFonts w:ascii="仿宋_GB2312" w:eastAsia="仿宋_GB2312" w:hAnsi="黑体" w:hint="eastAsia"/>
                <w:bCs/>
                <w:sz w:val="28"/>
                <w:szCs w:val="28"/>
                <w:lang w:val="zh-CN"/>
              </w:rPr>
              <w:t>设置专门的危险固废收集设施</w:t>
            </w:r>
            <w:r w:rsidR="003C6267">
              <w:rPr>
                <w:rFonts w:ascii="仿宋_GB2312" w:eastAsia="仿宋_GB2312" w:hAnsi="黑体" w:hint="eastAsia"/>
                <w:bCs/>
                <w:sz w:val="28"/>
                <w:szCs w:val="28"/>
                <w:lang w:val="zh-CN"/>
              </w:rPr>
              <w:t>，</w:t>
            </w:r>
            <w:r>
              <w:rPr>
                <w:rFonts w:ascii="仿宋_GB2312" w:eastAsia="仿宋_GB2312" w:hAnsi="黑体" w:hint="eastAsia"/>
                <w:bCs/>
                <w:sz w:val="28"/>
                <w:szCs w:val="28"/>
                <w:lang w:val="zh-CN"/>
              </w:rPr>
              <w:t>危险废物临时贮存设施</w:t>
            </w:r>
            <w:r>
              <w:rPr>
                <w:rFonts w:ascii="仿宋_GB2312" w:eastAsia="仿宋_GB2312" w:hAnsi="黑体" w:hint="eastAsia"/>
                <w:bCs/>
                <w:sz w:val="28"/>
                <w:szCs w:val="28"/>
                <w:lang w:val="zh-CN"/>
              </w:rPr>
              <w:t>符合《危险废物贮存污染控制标准》（</w:t>
            </w:r>
            <w:r>
              <w:rPr>
                <w:rFonts w:ascii="仿宋_GB2312" w:eastAsia="仿宋_GB2312" w:hAnsi="黑体" w:hint="eastAsia"/>
                <w:bCs/>
                <w:sz w:val="28"/>
                <w:szCs w:val="28"/>
                <w:lang w:val="zh-CN"/>
              </w:rPr>
              <w:t>GB18597-2001</w:t>
            </w:r>
            <w:r>
              <w:rPr>
                <w:rFonts w:ascii="仿宋_GB2312" w:eastAsia="仿宋_GB2312" w:hAnsi="黑体" w:hint="eastAsia"/>
                <w:bCs/>
                <w:sz w:val="28"/>
                <w:szCs w:val="28"/>
                <w:lang w:val="zh-CN"/>
              </w:rPr>
              <w:t>）及其修改单的有关规定。加强对危险废物的管理，对危险废物的产生、利用、收集、运输、贮存、处置等环节建立追踪性的</w:t>
            </w:r>
            <w:proofErr w:type="gramStart"/>
            <w:r>
              <w:rPr>
                <w:rFonts w:ascii="仿宋_GB2312" w:eastAsia="仿宋_GB2312" w:hAnsi="黑体" w:hint="eastAsia"/>
                <w:bCs/>
                <w:sz w:val="28"/>
                <w:szCs w:val="28"/>
                <w:lang w:val="zh-CN"/>
              </w:rPr>
              <w:t>帐目</w:t>
            </w:r>
            <w:proofErr w:type="gramEnd"/>
            <w:r>
              <w:rPr>
                <w:rFonts w:ascii="仿宋_GB2312" w:eastAsia="仿宋_GB2312" w:hAnsi="黑体" w:hint="eastAsia"/>
                <w:bCs/>
                <w:sz w:val="28"/>
                <w:szCs w:val="28"/>
                <w:lang w:val="zh-CN"/>
              </w:rPr>
              <w:t>和手续，并纳入环保部门的监督管理。</w:t>
            </w:r>
          </w:p>
          <w:p w:rsidR="00CF3AC3" w:rsidRDefault="00CF3AC3">
            <w:pPr>
              <w:spacing w:line="400" w:lineRule="exact"/>
              <w:jc w:val="left"/>
              <w:rPr>
                <w:rFonts w:ascii="仿宋_GB2312" w:eastAsia="仿宋_GB2312" w:hAnsi="黑体"/>
                <w:bCs/>
                <w:sz w:val="28"/>
                <w:szCs w:val="28"/>
                <w:lang w:val="zh-CN"/>
              </w:rPr>
            </w:pPr>
          </w:p>
        </w:tc>
        <w:tc>
          <w:tcPr>
            <w:tcW w:w="992" w:type="dxa"/>
            <w:vAlign w:val="center"/>
          </w:tcPr>
          <w:p w:rsidR="00CF3AC3" w:rsidRDefault="00CC6533">
            <w:pPr>
              <w:spacing w:line="400" w:lineRule="exact"/>
              <w:jc w:val="left"/>
              <w:rPr>
                <w:rFonts w:ascii="仿宋_GB2312" w:eastAsia="仿宋_GB2312" w:hAnsi="黑体"/>
                <w:bCs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黑体"/>
                <w:bCs/>
                <w:sz w:val="28"/>
                <w:szCs w:val="28"/>
              </w:rPr>
              <w:lastRenderedPageBreak/>
              <w:t>固废处置率</w:t>
            </w:r>
            <w:r>
              <w:rPr>
                <w:rFonts w:ascii="仿宋_GB2312" w:eastAsia="仿宋_GB2312" w:hAnsi="黑体"/>
                <w:bCs/>
                <w:sz w:val="28"/>
                <w:szCs w:val="28"/>
              </w:rPr>
              <w:lastRenderedPageBreak/>
              <w:t>100%</w:t>
            </w:r>
          </w:p>
        </w:tc>
      </w:tr>
    </w:tbl>
    <w:p w:rsidR="00CF3AC3" w:rsidRDefault="00CC6533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三、公众参与情况</w:t>
      </w:r>
    </w:p>
    <w:p w:rsidR="00CF3AC3" w:rsidRDefault="00CC6533">
      <w:pPr>
        <w:spacing w:line="5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项目报批前，建设单位在昆明市生态环境工程评估</w:t>
      </w:r>
      <w:proofErr w:type="gramStart"/>
      <w:r>
        <w:rPr>
          <w:rFonts w:ascii="仿宋_GB2312" w:eastAsia="仿宋_GB2312" w:hAnsi="黑体" w:hint="eastAsia"/>
          <w:sz w:val="32"/>
          <w:szCs w:val="32"/>
        </w:rPr>
        <w:t>中心官网进行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了环</w:t>
      </w:r>
      <w:proofErr w:type="gramStart"/>
      <w:r>
        <w:rPr>
          <w:rFonts w:ascii="仿宋_GB2312" w:eastAsia="仿宋_GB2312" w:hAnsi="黑体" w:hint="eastAsia"/>
          <w:sz w:val="32"/>
          <w:szCs w:val="32"/>
        </w:rPr>
        <w:t>评报告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全本公示。</w:t>
      </w:r>
    </w:p>
    <w:p w:rsidR="00CF3AC3" w:rsidRDefault="00CC6533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四、环</w:t>
      </w:r>
      <w:proofErr w:type="gramStart"/>
      <w:r>
        <w:rPr>
          <w:rFonts w:ascii="黑体" w:eastAsia="黑体" w:hAnsi="黑体" w:hint="eastAsia"/>
          <w:sz w:val="32"/>
          <w:szCs w:val="32"/>
        </w:rPr>
        <w:t>评文件</w:t>
      </w:r>
      <w:proofErr w:type="gramEnd"/>
      <w:r>
        <w:rPr>
          <w:rFonts w:ascii="黑体" w:eastAsia="黑体" w:hAnsi="黑体" w:hint="eastAsia"/>
          <w:sz w:val="32"/>
          <w:szCs w:val="32"/>
        </w:rPr>
        <w:t>放置地点</w:t>
      </w:r>
    </w:p>
    <w:p w:rsidR="00CF3AC3" w:rsidRDefault="00CC6533">
      <w:pPr>
        <w:spacing w:line="5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呈贡区政务服务中心</w:t>
      </w:r>
      <w:r>
        <w:rPr>
          <w:rFonts w:ascii="仿宋_GB2312" w:eastAsia="仿宋_GB2312" w:hAnsi="黑体" w:hint="eastAsia"/>
          <w:sz w:val="32"/>
          <w:szCs w:val="32"/>
        </w:rPr>
        <w:t>C</w:t>
      </w:r>
      <w:r>
        <w:rPr>
          <w:rFonts w:ascii="仿宋_GB2312" w:eastAsia="仿宋_GB2312" w:hAnsi="黑体" w:hint="eastAsia"/>
          <w:sz w:val="32"/>
          <w:szCs w:val="32"/>
        </w:rPr>
        <w:t>区</w:t>
      </w:r>
      <w:r>
        <w:rPr>
          <w:rFonts w:ascii="仿宋_GB2312" w:eastAsia="仿宋_GB2312" w:hAnsi="黑体" w:hint="eastAsia"/>
          <w:sz w:val="32"/>
          <w:szCs w:val="32"/>
        </w:rPr>
        <w:t>C16</w:t>
      </w:r>
      <w:r>
        <w:rPr>
          <w:rFonts w:ascii="仿宋_GB2312" w:eastAsia="仿宋_GB2312" w:hAnsi="黑体" w:hint="eastAsia"/>
          <w:sz w:val="32"/>
          <w:szCs w:val="32"/>
        </w:rPr>
        <w:t>窗口（纸质文本和电子文本）。</w:t>
      </w:r>
    </w:p>
    <w:p w:rsidR="00CF3AC3" w:rsidRDefault="00CC6533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五、征求公众意见的主要事项</w:t>
      </w:r>
    </w:p>
    <w:p w:rsidR="00CF3AC3" w:rsidRDefault="00CC6533">
      <w:pPr>
        <w:spacing w:line="5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本次公示主要征求公众对拟建项目区域环境质量的看法；对目前区域范围内存在的主要环境问题的认识；该项目建设过程中可能存在的环境问题；对本项目环境保护工作的建议；对本项目建设的态度。</w:t>
      </w:r>
    </w:p>
    <w:p w:rsidR="00CF3AC3" w:rsidRDefault="00CC6533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六、公众提出意见的主要方式</w:t>
      </w:r>
    </w:p>
    <w:p w:rsidR="00CF3AC3" w:rsidRDefault="00CC6533">
      <w:pPr>
        <w:spacing w:line="5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 w:rsidR="00CF3AC3" w:rsidRDefault="00CC6533">
      <w:pPr>
        <w:spacing w:line="5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根据《中华人民共和国行政许可法》，自公示起</w:t>
      </w:r>
      <w:r>
        <w:rPr>
          <w:rFonts w:ascii="仿宋_GB2312" w:eastAsia="仿宋_GB2312" w:hAnsi="黑体" w:hint="eastAsia"/>
          <w:sz w:val="32"/>
          <w:szCs w:val="32"/>
        </w:rPr>
        <w:t>5</w:t>
      </w:r>
      <w:r>
        <w:rPr>
          <w:rFonts w:ascii="仿宋_GB2312" w:eastAsia="仿宋_GB2312" w:hAnsi="黑体" w:hint="eastAsia"/>
          <w:sz w:val="32"/>
          <w:szCs w:val="32"/>
        </w:rPr>
        <w:t>个工作日内，申请人、利害关系人可对</w:t>
      </w:r>
      <w:r w:rsidR="00CC448E" w:rsidRPr="00CC448E">
        <w:rPr>
          <w:rFonts w:ascii="仿宋_GB2312" w:eastAsia="仿宋_GB2312" w:hAnsi="黑体" w:hint="eastAsia"/>
          <w:sz w:val="32"/>
          <w:szCs w:val="32"/>
        </w:rPr>
        <w:t>《云南民族大学附属学校（呈贡校区）建设项目环境影响报告表》</w:t>
      </w:r>
      <w:r>
        <w:rPr>
          <w:rFonts w:ascii="仿宋_GB2312" w:eastAsia="仿宋_GB2312" w:hAnsi="黑体" w:hint="eastAsia"/>
          <w:sz w:val="32"/>
          <w:szCs w:val="32"/>
        </w:rPr>
        <w:t>审批意见要求听证。</w:t>
      </w:r>
    </w:p>
    <w:p w:rsidR="00CF3AC3" w:rsidRDefault="00CC6533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七、反馈方式</w:t>
      </w:r>
    </w:p>
    <w:p w:rsidR="00CF3AC3" w:rsidRDefault="00CC6533">
      <w:pPr>
        <w:spacing w:line="5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昆明市生态环境局呈贡分局</w:t>
      </w:r>
    </w:p>
    <w:p w:rsidR="00CF3AC3" w:rsidRDefault="00CC6533">
      <w:pPr>
        <w:spacing w:line="5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Email</w:t>
      </w:r>
      <w:r>
        <w:rPr>
          <w:rFonts w:ascii="仿宋_GB2312" w:eastAsia="仿宋_GB2312" w:hAnsi="黑体" w:hint="eastAsia"/>
          <w:sz w:val="32"/>
          <w:szCs w:val="32"/>
        </w:rPr>
        <w:t>：</w:t>
      </w:r>
      <w:hyperlink r:id="rId4" w:history="1">
        <w:r>
          <w:rPr>
            <w:rStyle w:val="a9"/>
            <w:rFonts w:ascii="仿宋_GB2312" w:eastAsia="仿宋_GB2312" w:hAnsi="黑体"/>
            <w:sz w:val="32"/>
            <w:szCs w:val="32"/>
          </w:rPr>
          <w:t>cgepb@vip.sina.com</w:t>
        </w:r>
      </w:hyperlink>
    </w:p>
    <w:p w:rsidR="00CF3AC3" w:rsidRDefault="00CC6533">
      <w:pPr>
        <w:spacing w:line="5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电话</w:t>
      </w:r>
      <w:r>
        <w:rPr>
          <w:rFonts w:ascii="仿宋_GB2312" w:eastAsia="仿宋_GB2312" w:hAnsi="黑体" w:hint="eastAsia"/>
          <w:sz w:val="32"/>
          <w:szCs w:val="32"/>
        </w:rPr>
        <w:t>/</w:t>
      </w:r>
      <w:r>
        <w:rPr>
          <w:rFonts w:ascii="仿宋_GB2312" w:eastAsia="仿宋_GB2312" w:hAnsi="黑体" w:hint="eastAsia"/>
          <w:sz w:val="32"/>
          <w:szCs w:val="32"/>
        </w:rPr>
        <w:t>传真：</w:t>
      </w:r>
      <w:r>
        <w:rPr>
          <w:rFonts w:ascii="仿宋_GB2312" w:eastAsia="仿宋_GB2312" w:hAnsi="黑体" w:hint="eastAsia"/>
          <w:sz w:val="32"/>
          <w:szCs w:val="32"/>
        </w:rPr>
        <w:t>0871-67484816</w:t>
      </w:r>
    </w:p>
    <w:p w:rsidR="00CF3AC3" w:rsidRDefault="00CC6533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通讯地址：昆明市呈贡区呈祥街</w:t>
      </w:r>
      <w:proofErr w:type="gramStart"/>
      <w:r>
        <w:rPr>
          <w:rFonts w:ascii="仿宋_GB2312" w:eastAsia="仿宋_GB2312" w:hAnsi="黑体" w:hint="eastAsia"/>
          <w:sz w:val="32"/>
          <w:szCs w:val="32"/>
        </w:rPr>
        <w:t>515</w:t>
      </w:r>
      <w:r>
        <w:rPr>
          <w:rFonts w:ascii="仿宋_GB2312" w:eastAsia="仿宋_GB2312" w:hAnsi="黑体" w:hint="eastAsia"/>
          <w:sz w:val="32"/>
          <w:szCs w:val="32"/>
        </w:rPr>
        <w:t>号惠景园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下沉广场呈</w:t>
      </w:r>
      <w:r>
        <w:rPr>
          <w:rFonts w:ascii="仿宋_GB2312" w:eastAsia="仿宋_GB2312" w:hAnsi="黑体" w:hint="eastAsia"/>
          <w:sz w:val="32"/>
          <w:szCs w:val="32"/>
        </w:rPr>
        <w:t xml:space="preserve">        </w:t>
      </w:r>
      <w:proofErr w:type="gramStart"/>
      <w:r>
        <w:rPr>
          <w:rFonts w:ascii="仿宋_GB2312" w:eastAsia="仿宋_GB2312" w:hAnsi="黑体" w:hint="eastAsia"/>
          <w:sz w:val="32"/>
          <w:szCs w:val="32"/>
        </w:rPr>
        <w:t>贡区政务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服务中心</w:t>
      </w:r>
      <w:r>
        <w:rPr>
          <w:rFonts w:ascii="仿宋_GB2312" w:eastAsia="仿宋_GB2312" w:hAnsi="黑体" w:hint="eastAsia"/>
          <w:sz w:val="32"/>
          <w:szCs w:val="32"/>
        </w:rPr>
        <w:t>C</w:t>
      </w:r>
      <w:r>
        <w:rPr>
          <w:rFonts w:ascii="仿宋_GB2312" w:eastAsia="仿宋_GB2312" w:hAnsi="黑体" w:hint="eastAsia"/>
          <w:sz w:val="32"/>
          <w:szCs w:val="32"/>
        </w:rPr>
        <w:t>区</w:t>
      </w:r>
      <w:r>
        <w:rPr>
          <w:rFonts w:ascii="仿宋_GB2312" w:eastAsia="仿宋_GB2312" w:hAnsi="黑体" w:hint="eastAsia"/>
          <w:sz w:val="32"/>
          <w:szCs w:val="32"/>
        </w:rPr>
        <w:t>C16</w:t>
      </w:r>
      <w:r>
        <w:rPr>
          <w:rFonts w:ascii="仿宋_GB2312" w:eastAsia="仿宋_GB2312" w:hAnsi="黑体" w:hint="eastAsia"/>
          <w:sz w:val="32"/>
          <w:szCs w:val="32"/>
        </w:rPr>
        <w:t>窗口</w:t>
      </w:r>
    </w:p>
    <w:p w:rsidR="00CF3AC3" w:rsidRDefault="00CC6533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邮编：</w:t>
      </w:r>
      <w:r>
        <w:rPr>
          <w:rFonts w:ascii="仿宋_GB2312" w:eastAsia="仿宋_GB2312" w:hAnsi="黑体" w:hint="eastAsia"/>
          <w:sz w:val="32"/>
          <w:szCs w:val="32"/>
        </w:rPr>
        <w:t>650500</w:t>
      </w:r>
    </w:p>
    <w:sectPr w:rsidR="00CF3AC3" w:rsidSect="00CF3AC3">
      <w:pgSz w:w="11906" w:h="16838"/>
      <w:pgMar w:top="2098" w:right="1531" w:bottom="1985" w:left="158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Y5NDg2ZDdjZWI3NWY5MDBmNzhhYzAxYmIwZmJhMzAifQ=="/>
  </w:docVars>
  <w:rsids>
    <w:rsidRoot w:val="00015B23"/>
    <w:rsid w:val="00015B23"/>
    <w:rsid w:val="0004445F"/>
    <w:rsid w:val="000657CF"/>
    <w:rsid w:val="000A39B9"/>
    <w:rsid w:val="000C4F2B"/>
    <w:rsid w:val="000C7F68"/>
    <w:rsid w:val="00115ED0"/>
    <w:rsid w:val="00121C1C"/>
    <w:rsid w:val="001961CA"/>
    <w:rsid w:val="001F0C48"/>
    <w:rsid w:val="002A4C13"/>
    <w:rsid w:val="003150A7"/>
    <w:rsid w:val="0032649F"/>
    <w:rsid w:val="003C6267"/>
    <w:rsid w:val="00433A82"/>
    <w:rsid w:val="00472A6E"/>
    <w:rsid w:val="0048391A"/>
    <w:rsid w:val="00493664"/>
    <w:rsid w:val="004A60AE"/>
    <w:rsid w:val="004E5C5B"/>
    <w:rsid w:val="00546B53"/>
    <w:rsid w:val="005A23C0"/>
    <w:rsid w:val="005E0E83"/>
    <w:rsid w:val="00652D9E"/>
    <w:rsid w:val="00661A3C"/>
    <w:rsid w:val="00674410"/>
    <w:rsid w:val="00680609"/>
    <w:rsid w:val="0068253F"/>
    <w:rsid w:val="00687F83"/>
    <w:rsid w:val="006A668C"/>
    <w:rsid w:val="0072634A"/>
    <w:rsid w:val="007319A2"/>
    <w:rsid w:val="00764323"/>
    <w:rsid w:val="00764D64"/>
    <w:rsid w:val="00767B2E"/>
    <w:rsid w:val="00792CA2"/>
    <w:rsid w:val="007C4152"/>
    <w:rsid w:val="007E62F2"/>
    <w:rsid w:val="00825D39"/>
    <w:rsid w:val="00861E8A"/>
    <w:rsid w:val="008C2013"/>
    <w:rsid w:val="009111ED"/>
    <w:rsid w:val="00923833"/>
    <w:rsid w:val="009468F8"/>
    <w:rsid w:val="009615A5"/>
    <w:rsid w:val="0097020A"/>
    <w:rsid w:val="00982726"/>
    <w:rsid w:val="009A5A1B"/>
    <w:rsid w:val="009A5FDC"/>
    <w:rsid w:val="009B10F2"/>
    <w:rsid w:val="009C51CD"/>
    <w:rsid w:val="009E0853"/>
    <w:rsid w:val="009F3094"/>
    <w:rsid w:val="00A4336F"/>
    <w:rsid w:val="00A7441B"/>
    <w:rsid w:val="00A9032A"/>
    <w:rsid w:val="00A9603C"/>
    <w:rsid w:val="00A96CB8"/>
    <w:rsid w:val="00AB193F"/>
    <w:rsid w:val="00AB1EEE"/>
    <w:rsid w:val="00AB50AE"/>
    <w:rsid w:val="00B13CB9"/>
    <w:rsid w:val="00B3128A"/>
    <w:rsid w:val="00B32799"/>
    <w:rsid w:val="00B4151C"/>
    <w:rsid w:val="00B47FE8"/>
    <w:rsid w:val="00B53DEF"/>
    <w:rsid w:val="00B54666"/>
    <w:rsid w:val="00B6302F"/>
    <w:rsid w:val="00B71F03"/>
    <w:rsid w:val="00B7369D"/>
    <w:rsid w:val="00B80811"/>
    <w:rsid w:val="00B83589"/>
    <w:rsid w:val="00BA173C"/>
    <w:rsid w:val="00C65C64"/>
    <w:rsid w:val="00C93A28"/>
    <w:rsid w:val="00C93BBD"/>
    <w:rsid w:val="00CA0F1C"/>
    <w:rsid w:val="00CA4002"/>
    <w:rsid w:val="00CC448E"/>
    <w:rsid w:val="00CC6533"/>
    <w:rsid w:val="00CE7E2E"/>
    <w:rsid w:val="00CF3AC3"/>
    <w:rsid w:val="00D02498"/>
    <w:rsid w:val="00DE79AB"/>
    <w:rsid w:val="00E5672A"/>
    <w:rsid w:val="00EA1620"/>
    <w:rsid w:val="00EF0615"/>
    <w:rsid w:val="00F0085E"/>
    <w:rsid w:val="00F326B9"/>
    <w:rsid w:val="00F337A4"/>
    <w:rsid w:val="00F500EA"/>
    <w:rsid w:val="00F555D2"/>
    <w:rsid w:val="00F73EE1"/>
    <w:rsid w:val="00F7650D"/>
    <w:rsid w:val="00F921E3"/>
    <w:rsid w:val="00FD4DDE"/>
    <w:rsid w:val="03CE7CF1"/>
    <w:rsid w:val="050634BB"/>
    <w:rsid w:val="058368B9"/>
    <w:rsid w:val="0C2D30F1"/>
    <w:rsid w:val="10831E63"/>
    <w:rsid w:val="10E12973"/>
    <w:rsid w:val="11B60016"/>
    <w:rsid w:val="12F67FA3"/>
    <w:rsid w:val="13177D31"/>
    <w:rsid w:val="135D0699"/>
    <w:rsid w:val="17783E8D"/>
    <w:rsid w:val="199B1FCC"/>
    <w:rsid w:val="1CBB1081"/>
    <w:rsid w:val="22251793"/>
    <w:rsid w:val="29136268"/>
    <w:rsid w:val="2B383A6C"/>
    <w:rsid w:val="2C1B3F0E"/>
    <w:rsid w:val="313308E4"/>
    <w:rsid w:val="32925F59"/>
    <w:rsid w:val="32996416"/>
    <w:rsid w:val="341A0D54"/>
    <w:rsid w:val="35EB1A13"/>
    <w:rsid w:val="39407DC9"/>
    <w:rsid w:val="3ABD6D01"/>
    <w:rsid w:val="3BEE647B"/>
    <w:rsid w:val="3F6735F3"/>
    <w:rsid w:val="41623C03"/>
    <w:rsid w:val="41AB024C"/>
    <w:rsid w:val="41C51A2C"/>
    <w:rsid w:val="44AC2A30"/>
    <w:rsid w:val="45A15B42"/>
    <w:rsid w:val="4D391909"/>
    <w:rsid w:val="4DA9011C"/>
    <w:rsid w:val="4E1B59FF"/>
    <w:rsid w:val="4E284685"/>
    <w:rsid w:val="4FD73056"/>
    <w:rsid w:val="512E185C"/>
    <w:rsid w:val="567533FD"/>
    <w:rsid w:val="58786275"/>
    <w:rsid w:val="58F36CFA"/>
    <w:rsid w:val="5B933581"/>
    <w:rsid w:val="5C240120"/>
    <w:rsid w:val="5C9940D0"/>
    <w:rsid w:val="5D5E07C1"/>
    <w:rsid w:val="5E224037"/>
    <w:rsid w:val="5E9D2648"/>
    <w:rsid w:val="66B21CD0"/>
    <w:rsid w:val="68096567"/>
    <w:rsid w:val="688558EE"/>
    <w:rsid w:val="69986BAF"/>
    <w:rsid w:val="6AA06A0F"/>
    <w:rsid w:val="6B673498"/>
    <w:rsid w:val="6F1A46B7"/>
    <w:rsid w:val="6FBE1717"/>
    <w:rsid w:val="7260300C"/>
    <w:rsid w:val="764B60EB"/>
    <w:rsid w:val="77E55B2D"/>
    <w:rsid w:val="7D3D633F"/>
    <w:rsid w:val="7FD01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rsid w:val="00CF3AC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CF3AC3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3">
    <w:name w:val="Normal Indent"/>
    <w:basedOn w:val="a"/>
    <w:qFormat/>
    <w:rsid w:val="00CF3AC3"/>
    <w:pPr>
      <w:ind w:firstLine="420"/>
    </w:pPr>
  </w:style>
  <w:style w:type="paragraph" w:styleId="a4">
    <w:name w:val="Body Text"/>
    <w:basedOn w:val="a"/>
    <w:next w:val="a"/>
    <w:unhideWhenUsed/>
    <w:qFormat/>
    <w:rsid w:val="00CF3AC3"/>
    <w:pPr>
      <w:jc w:val="center"/>
    </w:pPr>
  </w:style>
  <w:style w:type="paragraph" w:styleId="a5">
    <w:name w:val="Plain Text"/>
    <w:basedOn w:val="a"/>
    <w:next w:val="a"/>
    <w:rsid w:val="00CF3AC3"/>
    <w:rPr>
      <w:rFonts w:ascii="宋体" w:hAnsi="Courier New"/>
    </w:rPr>
  </w:style>
  <w:style w:type="paragraph" w:styleId="a6">
    <w:name w:val="footer"/>
    <w:basedOn w:val="a"/>
    <w:link w:val="Char"/>
    <w:uiPriority w:val="99"/>
    <w:unhideWhenUsed/>
    <w:rsid w:val="00CF3A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CF3A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rsid w:val="00CF3A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rsid w:val="00CF3AC3"/>
    <w:rPr>
      <w:color w:val="0000FF"/>
      <w:u w:val="single"/>
    </w:rPr>
  </w:style>
  <w:style w:type="character" w:customStyle="1" w:styleId="Char">
    <w:name w:val="页脚 Char"/>
    <w:link w:val="a6"/>
    <w:uiPriority w:val="99"/>
    <w:rsid w:val="00CF3AC3"/>
    <w:rPr>
      <w:kern w:val="2"/>
      <w:sz w:val="18"/>
      <w:szCs w:val="18"/>
    </w:rPr>
  </w:style>
  <w:style w:type="character" w:customStyle="1" w:styleId="Char0">
    <w:name w:val="页眉 Char"/>
    <w:link w:val="a7"/>
    <w:uiPriority w:val="99"/>
    <w:rsid w:val="00CF3AC3"/>
    <w:rPr>
      <w:kern w:val="2"/>
      <w:sz w:val="18"/>
      <w:szCs w:val="18"/>
    </w:rPr>
  </w:style>
  <w:style w:type="paragraph" w:customStyle="1" w:styleId="10015">
    <w:name w:val="样式 标题 1 + 四号 段前: 0 磅 段后: 0 磅 行距: 1.5 倍行距"/>
    <w:basedOn w:val="1"/>
    <w:next w:val="aa"/>
    <w:qFormat/>
    <w:rsid w:val="00CF3AC3"/>
    <w:pPr>
      <w:adjustRightInd w:val="0"/>
      <w:snapToGrid w:val="0"/>
    </w:pPr>
    <w:rPr>
      <w:rFonts w:eastAsia="宋体"/>
      <w:sz w:val="28"/>
    </w:rPr>
  </w:style>
  <w:style w:type="paragraph" w:customStyle="1" w:styleId="1">
    <w:name w:val="1正文"/>
    <w:qFormat/>
    <w:rsid w:val="00CF3AC3"/>
    <w:pPr>
      <w:spacing w:line="560" w:lineRule="exact"/>
      <w:ind w:firstLineChars="200" w:firstLine="480"/>
    </w:pPr>
    <w:rPr>
      <w:rFonts w:ascii="Calibri" w:eastAsia="Calibri" w:hAnsi="Calibri"/>
      <w:sz w:val="24"/>
    </w:rPr>
  </w:style>
  <w:style w:type="paragraph" w:customStyle="1" w:styleId="aa">
    <w:name w:val="文本正文"/>
    <w:basedOn w:val="a"/>
    <w:qFormat/>
    <w:rsid w:val="00CF3AC3"/>
    <w:pPr>
      <w:ind w:firstLine="536"/>
    </w:pPr>
    <w:rPr>
      <w:rFonts w:cs="宋体"/>
      <w:bCs/>
    </w:rPr>
  </w:style>
  <w:style w:type="paragraph" w:customStyle="1" w:styleId="ab">
    <w:name w:val="表格"/>
    <w:next w:val="a3"/>
    <w:qFormat/>
    <w:rsid w:val="00CF3AC3"/>
    <w:pPr>
      <w:spacing w:line="0" w:lineRule="atLeast"/>
      <w:jc w:val="center"/>
    </w:pPr>
    <w:rPr>
      <w:rFonts w:ascii="宋体"/>
      <w:sz w:val="21"/>
    </w:rPr>
  </w:style>
  <w:style w:type="paragraph" w:customStyle="1" w:styleId="TableParagraph">
    <w:name w:val="Table Paragraph"/>
    <w:basedOn w:val="a"/>
    <w:uiPriority w:val="1"/>
    <w:qFormat/>
    <w:rsid w:val="00CF3AC3"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  <w:style w:type="paragraph" w:customStyle="1" w:styleId="5Char">
    <w:name w:val="5 Char"/>
    <w:basedOn w:val="a"/>
    <w:qFormat/>
    <w:rsid w:val="00CF3AC3"/>
    <w:rPr>
      <w:sz w:val="24"/>
    </w:rPr>
  </w:style>
  <w:style w:type="table" w:customStyle="1" w:styleId="TableNormal">
    <w:name w:val="Table Normal"/>
    <w:unhideWhenUsed/>
    <w:qFormat/>
    <w:rsid w:val="00CF3AC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20">
    <w:name w:val="_Style 20"/>
    <w:uiPriority w:val="99"/>
    <w:unhideWhenUsed/>
    <w:rsid w:val="00CF3AC3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gepb@vip.sina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1541</TotalTime>
  <Pages>6</Pages>
  <Words>466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34</cp:revision>
  <cp:lastPrinted>2021-01-07T01:10:00Z</cp:lastPrinted>
  <dcterms:created xsi:type="dcterms:W3CDTF">2022-05-24T03:23:00Z</dcterms:created>
  <dcterms:modified xsi:type="dcterms:W3CDTF">2022-07-08T09:09:00Z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2BBD3CEDBA344B7DAA66EF84670DEB85</vt:lpwstr>
  </property>
</Properties>
</file>