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70" w:lineRule="exact"/>
        <w:jc w:val="center"/>
        <w:rPr>
          <w:rFonts w:hint="eastAsia" w:ascii="方正小标宋简体" w:hAnsi="华文中宋" w:eastAsia="方正小标宋简体"/>
          <w:spacing w:val="14"/>
          <w:sz w:val="36"/>
          <w:szCs w:val="36"/>
        </w:rPr>
      </w:pPr>
      <w:r>
        <w:rPr>
          <w:rFonts w:hint="eastAsia" w:ascii="方正小标宋简体" w:eastAsia="方正小标宋简体"/>
          <w:sz w:val="36"/>
          <w:szCs w:val="36"/>
          <w:lang w:val="en-US" w:eastAsia="zh-CN"/>
        </w:rPr>
        <w:t>昆明市呈贡区第一中学</w:t>
      </w:r>
      <w:r>
        <w:rPr>
          <w:rFonts w:hint="eastAsia" w:ascii="方正小标宋简体" w:eastAsia="方正小标宋简体"/>
          <w:sz w:val="36"/>
          <w:szCs w:val="36"/>
        </w:rPr>
        <w:t>部门</w:t>
      </w:r>
      <w:r>
        <w:rPr>
          <w:rFonts w:hint="eastAsia" w:ascii="方正小标宋简体" w:eastAsia="方正小标宋简体"/>
          <w:sz w:val="36"/>
          <w:szCs w:val="36"/>
          <w:lang w:val="en-US" w:eastAsia="zh-CN"/>
        </w:rPr>
        <w:t>2022年校园绿化保洁经费</w:t>
      </w:r>
      <w:r>
        <w:rPr>
          <w:rFonts w:hint="eastAsia" w:ascii="方正小标宋简体" w:hAnsi="华文中宋" w:eastAsia="方正小标宋简体"/>
          <w:spacing w:val="14"/>
          <w:sz w:val="36"/>
          <w:szCs w:val="36"/>
        </w:rPr>
        <w:t>项目</w:t>
      </w:r>
    </w:p>
    <w:p>
      <w:pPr>
        <w:snapToGrid w:val="0"/>
        <w:spacing w:line="570" w:lineRule="exact"/>
        <w:jc w:val="center"/>
        <w:rPr>
          <w:rFonts w:hint="eastAsia" w:ascii="方正小标宋简体" w:hAnsi="华文中宋" w:eastAsia="方正小标宋简体"/>
          <w:spacing w:val="14"/>
          <w:sz w:val="44"/>
          <w:szCs w:val="44"/>
        </w:rPr>
      </w:pPr>
    </w:p>
    <w:p>
      <w:pPr>
        <w:widowControl/>
        <w:numPr>
          <w:ilvl w:val="0"/>
          <w:numId w:val="1"/>
        </w:numPr>
        <w:ind w:firstLine="600" w:firstLineChars="200"/>
        <w:jc w:val="left"/>
        <w:rPr>
          <w:rFonts w:hint="eastAsia" w:ascii="黑体" w:hAnsi="黑体" w:eastAsia="黑体"/>
          <w:kern w:val="0"/>
          <w:sz w:val="30"/>
          <w:szCs w:val="30"/>
        </w:rPr>
      </w:pPr>
      <w:r>
        <w:rPr>
          <w:rFonts w:hint="eastAsia" w:ascii="黑体" w:hAnsi="黑体" w:eastAsia="黑体"/>
          <w:kern w:val="0"/>
          <w:sz w:val="30"/>
          <w:szCs w:val="30"/>
        </w:rPr>
        <w:t>项目名称</w:t>
      </w:r>
    </w:p>
    <w:p>
      <w:pPr>
        <w:widowControl/>
        <w:ind w:firstLine="600" w:firstLineChars="200"/>
        <w:jc w:val="left"/>
        <w:rPr>
          <w:rFonts w:hint="default" w:eastAsia="仿宋_GB2312"/>
          <w:kern w:val="0"/>
          <w:sz w:val="30"/>
          <w:szCs w:val="30"/>
          <w:lang w:val="en-US" w:eastAsia="zh-CN"/>
        </w:rPr>
      </w:pPr>
      <w:r>
        <w:rPr>
          <w:rFonts w:hint="eastAsia" w:eastAsia="仿宋_GB2312"/>
          <w:kern w:val="0"/>
          <w:sz w:val="30"/>
          <w:szCs w:val="30"/>
          <w:lang w:val="en-US" w:eastAsia="zh-CN"/>
        </w:rPr>
        <w:t>校园绿化保洁经费</w:t>
      </w:r>
    </w:p>
    <w:p>
      <w:pPr>
        <w:widowControl/>
        <w:numPr>
          <w:ilvl w:val="0"/>
          <w:numId w:val="1"/>
        </w:numPr>
        <w:ind w:firstLine="600" w:firstLineChars="200"/>
        <w:jc w:val="left"/>
        <w:rPr>
          <w:rFonts w:hint="eastAsia" w:ascii="黑体" w:hAnsi="黑体" w:eastAsia="黑体" w:cs="黑体"/>
          <w:kern w:val="0"/>
          <w:sz w:val="30"/>
          <w:szCs w:val="30"/>
        </w:rPr>
      </w:pPr>
      <w:r>
        <w:rPr>
          <w:rFonts w:hint="eastAsia" w:ascii="黑体" w:hAnsi="黑体" w:eastAsia="黑体" w:cs="黑体"/>
          <w:kern w:val="0"/>
          <w:sz w:val="30"/>
          <w:szCs w:val="30"/>
        </w:rPr>
        <w:t>立项依据</w:t>
      </w:r>
    </w:p>
    <w:p>
      <w:pPr>
        <w:widowControl/>
        <w:ind w:firstLine="640" w:firstLineChars="200"/>
        <w:jc w:val="left"/>
        <w:rPr>
          <w:rFonts w:eastAsia="仿宋_GB2312"/>
          <w:kern w:val="0"/>
          <w:sz w:val="30"/>
          <w:szCs w:val="30"/>
        </w:rPr>
      </w:pPr>
      <w:r>
        <w:rPr>
          <w:rFonts w:hint="eastAsia" w:ascii="仿宋_GB2312" w:hAnsi="仿宋_GB2312" w:eastAsia="仿宋_GB2312" w:cs="仿宋_GB2312"/>
          <w:kern w:val="0"/>
          <w:sz w:val="32"/>
          <w:szCs w:val="32"/>
          <w:lang w:eastAsia="zh-CN"/>
        </w:rPr>
        <w:t>根据昆明市呈贡区财政局 昆明市呈贡区教育局关于转发云南省城乡义务教育学校公用经费管理办法的通知（呈财教【2017】16号）文件。</w:t>
      </w:r>
    </w:p>
    <w:p>
      <w:pPr>
        <w:widowControl/>
        <w:numPr>
          <w:ilvl w:val="0"/>
          <w:numId w:val="1"/>
        </w:numPr>
        <w:ind w:firstLine="600" w:firstLineChars="200"/>
        <w:jc w:val="left"/>
        <w:rPr>
          <w:rFonts w:hint="eastAsia" w:ascii="黑体" w:hAnsi="黑体" w:eastAsia="黑体" w:cs="黑体"/>
          <w:kern w:val="0"/>
          <w:sz w:val="30"/>
          <w:szCs w:val="30"/>
        </w:rPr>
      </w:pPr>
      <w:r>
        <w:rPr>
          <w:rFonts w:hint="eastAsia" w:ascii="黑体" w:hAnsi="黑体" w:eastAsia="黑体" w:cs="黑体"/>
          <w:kern w:val="0"/>
          <w:sz w:val="30"/>
          <w:szCs w:val="30"/>
        </w:rPr>
        <w:t>项目实施单位</w:t>
      </w:r>
    </w:p>
    <w:p>
      <w:pPr>
        <w:widowControl/>
        <w:ind w:firstLine="600" w:firstLineChars="200"/>
        <w:jc w:val="left"/>
        <w:rPr>
          <w:rFonts w:hint="eastAsia" w:eastAsia="仿宋_GB2312"/>
          <w:kern w:val="0"/>
          <w:sz w:val="30"/>
          <w:szCs w:val="30"/>
        </w:rPr>
      </w:pPr>
      <w:r>
        <w:rPr>
          <w:rFonts w:hint="eastAsia" w:eastAsia="仿宋_GB2312"/>
          <w:kern w:val="0"/>
          <w:sz w:val="30"/>
          <w:szCs w:val="30"/>
        </w:rPr>
        <w:t>单位名称：</w:t>
      </w:r>
      <w:r>
        <w:rPr>
          <w:rFonts w:hint="eastAsia" w:ascii="仿宋_GB2312" w:hAnsi="仿宋_GB2312" w:eastAsia="仿宋_GB2312" w:cs="仿宋_GB2312"/>
          <w:kern w:val="0"/>
          <w:sz w:val="32"/>
          <w:szCs w:val="32"/>
          <w:lang w:eastAsia="zh-CN"/>
        </w:rPr>
        <w:t>昆明市呈贡区第一中学</w:t>
      </w:r>
    </w:p>
    <w:p>
      <w:pPr>
        <w:keepNext w:val="0"/>
        <w:keepLines w:val="0"/>
        <w:pageBreakBefore w:val="0"/>
        <w:widowControl/>
        <w:numPr>
          <w:ilvl w:val="0"/>
          <w:numId w:val="0"/>
        </w:numPr>
        <w:kinsoku/>
        <w:wordWrap/>
        <w:overflowPunct/>
        <w:topLinePunct w:val="0"/>
        <w:autoSpaceDE/>
        <w:autoSpaceDN/>
        <w:bidi w:val="0"/>
        <w:adjustRightInd/>
        <w:snapToGrid/>
        <w:ind w:firstLine="600" w:firstLineChars="200"/>
        <w:jc w:val="left"/>
        <w:textAlignment w:val="auto"/>
        <w:rPr>
          <w:rFonts w:hint="eastAsia" w:eastAsia="仿宋_GB2312"/>
          <w:kern w:val="0"/>
          <w:sz w:val="30"/>
          <w:szCs w:val="30"/>
        </w:rPr>
      </w:pPr>
      <w:r>
        <w:rPr>
          <w:rFonts w:hint="eastAsia" w:eastAsia="仿宋_GB2312"/>
          <w:kern w:val="0"/>
          <w:sz w:val="30"/>
          <w:szCs w:val="30"/>
        </w:rPr>
        <w:t>组织机构代码：</w:t>
      </w:r>
      <w:r>
        <w:rPr>
          <w:rFonts w:hint="eastAsia" w:ascii="仿宋_GB2312" w:hAnsi="仿宋_GB2312" w:eastAsia="仿宋_GB2312" w:cs="仿宋_GB2312"/>
          <w:kern w:val="0"/>
          <w:sz w:val="32"/>
          <w:szCs w:val="32"/>
          <w:lang w:val="en-US" w:eastAsia="zh-CN"/>
        </w:rPr>
        <w:t>12530121431490662H</w:t>
      </w:r>
    </w:p>
    <w:p>
      <w:pPr>
        <w:widowControl/>
        <w:ind w:firstLine="600" w:firstLineChars="200"/>
        <w:jc w:val="left"/>
        <w:rPr>
          <w:rFonts w:hint="eastAsia" w:eastAsia="仿宋_GB2312"/>
          <w:kern w:val="0"/>
          <w:sz w:val="30"/>
          <w:szCs w:val="30"/>
        </w:rPr>
      </w:pPr>
      <w:r>
        <w:rPr>
          <w:rFonts w:hint="eastAsia" w:eastAsia="仿宋_GB2312"/>
          <w:kern w:val="0"/>
          <w:sz w:val="30"/>
          <w:szCs w:val="30"/>
        </w:rPr>
        <w:t>地址</w:t>
      </w:r>
      <w:r>
        <w:rPr>
          <w:rFonts w:hint="eastAsia" w:eastAsia="仿宋_GB2312"/>
          <w:kern w:val="0"/>
          <w:sz w:val="30"/>
          <w:szCs w:val="30"/>
          <w:lang w:eastAsia="zh-CN"/>
        </w:rPr>
        <w:t>：</w:t>
      </w:r>
      <w:r>
        <w:rPr>
          <w:rFonts w:hint="eastAsia" w:ascii="仿宋_GB2312" w:hAnsi="仿宋_GB2312" w:eastAsia="仿宋_GB2312" w:cs="仿宋_GB2312"/>
          <w:kern w:val="0"/>
          <w:sz w:val="32"/>
          <w:szCs w:val="32"/>
          <w:lang w:eastAsia="zh-CN"/>
        </w:rPr>
        <w:t>云南省昆明市呈贡区龙城街道办事处双龙路90号</w:t>
      </w:r>
      <w:r>
        <w:rPr>
          <w:rFonts w:hint="eastAsia" w:eastAsia="仿宋_GB2312"/>
          <w:kern w:val="0"/>
          <w:sz w:val="30"/>
          <w:szCs w:val="30"/>
        </w:rPr>
        <w:t>：</w:t>
      </w:r>
    </w:p>
    <w:p>
      <w:pPr>
        <w:widowControl/>
        <w:ind w:firstLine="600" w:firstLineChars="200"/>
        <w:jc w:val="left"/>
        <w:rPr>
          <w:rFonts w:hint="default" w:eastAsia="仿宋_GB2312"/>
          <w:kern w:val="0"/>
          <w:sz w:val="30"/>
          <w:szCs w:val="30"/>
          <w:lang w:val="en-US" w:eastAsia="zh-CN"/>
        </w:rPr>
      </w:pPr>
      <w:r>
        <w:rPr>
          <w:rFonts w:hint="eastAsia" w:eastAsia="仿宋_GB2312"/>
          <w:kern w:val="0"/>
          <w:sz w:val="30"/>
          <w:szCs w:val="30"/>
        </w:rPr>
        <w:t>联系电话：</w:t>
      </w:r>
      <w:r>
        <w:rPr>
          <w:rFonts w:hint="eastAsia" w:eastAsia="仿宋_GB2312"/>
          <w:kern w:val="0"/>
          <w:sz w:val="30"/>
          <w:szCs w:val="30"/>
          <w:lang w:val="en-US" w:eastAsia="zh-CN"/>
        </w:rPr>
        <w:t>67479163</w:t>
      </w:r>
    </w:p>
    <w:p>
      <w:pPr>
        <w:widowControl/>
        <w:ind w:firstLine="600" w:firstLineChars="200"/>
        <w:jc w:val="left"/>
        <w:rPr>
          <w:rFonts w:hint="default" w:eastAsia="仿宋_GB2312"/>
          <w:kern w:val="0"/>
          <w:sz w:val="30"/>
          <w:szCs w:val="30"/>
          <w:lang w:val="en-US" w:eastAsia="zh-CN"/>
        </w:rPr>
      </w:pPr>
      <w:r>
        <w:rPr>
          <w:rFonts w:hint="eastAsia" w:eastAsia="仿宋_GB2312"/>
          <w:kern w:val="0"/>
          <w:sz w:val="30"/>
          <w:szCs w:val="30"/>
        </w:rPr>
        <w:t>法人代表：</w:t>
      </w:r>
      <w:r>
        <w:rPr>
          <w:rFonts w:hint="eastAsia" w:eastAsia="仿宋_GB2312"/>
          <w:kern w:val="0"/>
          <w:sz w:val="30"/>
          <w:szCs w:val="30"/>
          <w:lang w:val="en-US" w:eastAsia="zh-CN"/>
        </w:rPr>
        <w:t>杨少宁</w:t>
      </w:r>
    </w:p>
    <w:p>
      <w:pPr>
        <w:widowControl/>
        <w:ind w:firstLine="600" w:firstLineChars="200"/>
        <w:jc w:val="left"/>
        <w:rPr>
          <w:rFonts w:hint="default" w:eastAsia="仿宋_GB2312"/>
          <w:kern w:val="0"/>
          <w:sz w:val="30"/>
          <w:szCs w:val="30"/>
          <w:lang w:val="en-US" w:eastAsia="zh-CN"/>
        </w:rPr>
      </w:pPr>
      <w:r>
        <w:rPr>
          <w:rFonts w:hint="eastAsia" w:eastAsia="仿宋_GB2312"/>
          <w:kern w:val="0"/>
          <w:sz w:val="30"/>
          <w:szCs w:val="30"/>
        </w:rPr>
        <w:t>经费来源：</w:t>
      </w:r>
      <w:r>
        <w:rPr>
          <w:rFonts w:hint="eastAsia" w:eastAsia="仿宋_GB2312"/>
          <w:kern w:val="0"/>
          <w:sz w:val="30"/>
          <w:szCs w:val="30"/>
          <w:lang w:val="en-US" w:eastAsia="zh-CN"/>
        </w:rPr>
        <w:t>财政全额拨款</w:t>
      </w:r>
    </w:p>
    <w:p>
      <w:pPr>
        <w:widowControl/>
        <w:ind w:firstLine="600" w:firstLineChars="200"/>
        <w:jc w:val="left"/>
        <w:rPr>
          <w:rFonts w:hint="eastAsia" w:eastAsia="仿宋_GB2312"/>
          <w:kern w:val="0"/>
          <w:sz w:val="30"/>
          <w:szCs w:val="30"/>
        </w:rPr>
      </w:pPr>
      <w:r>
        <w:rPr>
          <w:rFonts w:hint="eastAsia" w:eastAsia="仿宋_GB2312"/>
          <w:kern w:val="0"/>
          <w:sz w:val="30"/>
          <w:szCs w:val="30"/>
          <w:lang w:eastAsia="zh-CN"/>
        </w:rPr>
        <w:t>单位</w:t>
      </w:r>
      <w:r>
        <w:rPr>
          <w:rFonts w:hint="eastAsia" w:eastAsia="仿宋_GB2312"/>
          <w:kern w:val="0"/>
          <w:sz w:val="30"/>
          <w:szCs w:val="30"/>
        </w:rPr>
        <w:t>概况：</w:t>
      </w:r>
    </w:p>
    <w:p>
      <w:pPr>
        <w:widowControl/>
        <w:ind w:firstLine="640" w:firstLineChars="200"/>
        <w:jc w:val="left"/>
        <w:rPr>
          <w:rFonts w:hint="default" w:eastAsia="仿宋_GB2312"/>
          <w:kern w:val="0"/>
          <w:sz w:val="32"/>
          <w:szCs w:val="32"/>
          <w:lang w:val="en-US"/>
        </w:rPr>
      </w:pPr>
      <w:r>
        <w:rPr>
          <w:rFonts w:hint="eastAsia" w:eastAsia="仿宋_GB2312"/>
          <w:kern w:val="0"/>
          <w:sz w:val="32"/>
          <w:szCs w:val="32"/>
          <w:lang w:val="en-US" w:eastAsia="zh-CN"/>
        </w:rPr>
        <w:t>昆明市呈贡区第一中学属完全中学，</w:t>
      </w:r>
      <w:r>
        <w:rPr>
          <w:rFonts w:hint="eastAsia" w:eastAsia="仿宋_GB2312"/>
          <w:kern w:val="0"/>
          <w:sz w:val="32"/>
          <w:szCs w:val="32"/>
        </w:rPr>
        <w:t>设</w:t>
      </w:r>
      <w:r>
        <w:rPr>
          <w:rFonts w:hint="eastAsia" w:eastAsia="仿宋_GB2312"/>
          <w:kern w:val="0"/>
          <w:sz w:val="32"/>
          <w:szCs w:val="32"/>
          <w:lang w:val="en-US" w:eastAsia="zh-CN"/>
        </w:rPr>
        <w:t>初中部</w:t>
      </w:r>
      <w:r>
        <w:rPr>
          <w:rFonts w:hint="eastAsia" w:eastAsia="仿宋_GB2312"/>
          <w:kern w:val="0"/>
          <w:sz w:val="32"/>
          <w:szCs w:val="32"/>
        </w:rPr>
        <w:t>、</w:t>
      </w:r>
      <w:r>
        <w:rPr>
          <w:rFonts w:hint="eastAsia" w:eastAsia="仿宋_GB2312"/>
          <w:kern w:val="0"/>
          <w:sz w:val="32"/>
          <w:szCs w:val="32"/>
          <w:lang w:val="en-US" w:eastAsia="zh-CN"/>
        </w:rPr>
        <w:t>高中部；根据部门预算编制要求，将按初中部、高中部预算编，初中部学生1641人，教职工107人，其中专任教师105人，工勤人员2人，退休教师58人；高中部学生1309人，教职工247人，其中专任教师241人，工勤人员6人，退休教师55人。</w:t>
      </w:r>
    </w:p>
    <w:p>
      <w:pPr>
        <w:widowControl/>
        <w:ind w:firstLine="600" w:firstLineChars="200"/>
        <w:jc w:val="left"/>
        <w:rPr>
          <w:rFonts w:hint="eastAsia" w:eastAsia="仿宋_GB2312"/>
          <w:kern w:val="0"/>
          <w:sz w:val="30"/>
          <w:szCs w:val="30"/>
        </w:rPr>
      </w:pPr>
    </w:p>
    <w:p>
      <w:pPr>
        <w:widowControl/>
        <w:numPr>
          <w:ilvl w:val="0"/>
          <w:numId w:val="1"/>
        </w:numPr>
        <w:ind w:firstLine="600" w:firstLineChars="200"/>
        <w:jc w:val="left"/>
        <w:rPr>
          <w:rFonts w:hint="eastAsia" w:ascii="黑体" w:hAnsi="黑体" w:eastAsia="黑体" w:cs="黑体"/>
          <w:kern w:val="0"/>
          <w:sz w:val="30"/>
          <w:szCs w:val="30"/>
        </w:rPr>
      </w:pPr>
      <w:r>
        <w:rPr>
          <w:rFonts w:hint="eastAsia" w:ascii="黑体" w:hAnsi="黑体" w:eastAsia="黑体" w:cs="黑体"/>
          <w:kern w:val="0"/>
          <w:sz w:val="30"/>
          <w:szCs w:val="30"/>
        </w:rPr>
        <w:t>项目基本概况</w:t>
      </w:r>
    </w:p>
    <w:p>
      <w:pPr>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CN"/>
        </w:rPr>
        <w:t>为严格遵守政府采购相关文件规定，</w:t>
      </w:r>
      <w:r>
        <w:rPr>
          <w:rFonts w:hint="eastAsia" w:eastAsia="仿宋_GB2312"/>
          <w:sz w:val="32"/>
          <w:szCs w:val="32"/>
        </w:rPr>
        <w:t>满足学校不断发展的需求，营造安全、优美、和谐</w:t>
      </w:r>
      <w:r>
        <w:rPr>
          <w:rFonts w:hint="eastAsia" w:eastAsia="仿宋_GB2312"/>
          <w:sz w:val="32"/>
          <w:szCs w:val="32"/>
          <w:lang w:eastAsia="zh-CN"/>
        </w:rPr>
        <w:t>、绿色</w:t>
      </w:r>
      <w:r>
        <w:rPr>
          <w:rFonts w:hint="eastAsia" w:eastAsia="仿宋_GB2312"/>
          <w:sz w:val="32"/>
          <w:szCs w:val="32"/>
        </w:rPr>
        <w:t>的育人环境，进一步提升学校的知名度和办学质量，</w:t>
      </w:r>
      <w:r>
        <w:rPr>
          <w:rFonts w:hint="eastAsia" w:eastAsia="仿宋_GB2312"/>
          <w:sz w:val="32"/>
          <w:szCs w:val="32"/>
          <w:lang w:eastAsia="zh-CN"/>
        </w:rPr>
        <w:t>完成文明城市、文明校园的创建工作，更好</w:t>
      </w:r>
      <w:r>
        <w:rPr>
          <w:rFonts w:hint="eastAsia" w:eastAsia="仿宋_GB2312"/>
          <w:sz w:val="32"/>
          <w:szCs w:val="32"/>
        </w:rPr>
        <w:t>地为呈贡新区教育教学服务，办人民满意的教育</w:t>
      </w:r>
      <w:r>
        <w:rPr>
          <w:rFonts w:hint="eastAsia" w:ascii="仿宋_GB2312" w:hAnsi="仿宋_GB2312" w:eastAsia="仿宋_GB2312" w:cs="仿宋_GB2312"/>
          <w:kern w:val="0"/>
          <w:sz w:val="32"/>
          <w:szCs w:val="32"/>
        </w:rPr>
        <w:t>。</w:t>
      </w:r>
    </w:p>
    <w:p>
      <w:pPr>
        <w:widowControl/>
        <w:numPr>
          <w:ilvl w:val="0"/>
          <w:numId w:val="1"/>
        </w:numPr>
        <w:ind w:firstLine="600" w:firstLineChars="200"/>
        <w:jc w:val="left"/>
        <w:rPr>
          <w:rFonts w:hint="eastAsia" w:ascii="黑体" w:hAnsi="黑体" w:eastAsia="黑体" w:cs="黑体"/>
          <w:kern w:val="0"/>
          <w:sz w:val="30"/>
          <w:szCs w:val="30"/>
        </w:rPr>
      </w:pPr>
      <w:r>
        <w:rPr>
          <w:rFonts w:hint="eastAsia" w:ascii="黑体" w:hAnsi="黑体" w:eastAsia="黑体" w:cs="黑体"/>
          <w:kern w:val="0"/>
          <w:sz w:val="30"/>
          <w:szCs w:val="30"/>
        </w:rPr>
        <w:t>项目实施内容</w:t>
      </w:r>
    </w:p>
    <w:p>
      <w:pPr>
        <w:keepNext w:val="0"/>
        <w:keepLines w:val="0"/>
        <w:pageBreakBefore w:val="0"/>
        <w:kinsoku/>
        <w:wordWrap/>
        <w:overflowPunct/>
        <w:topLinePunct w:val="0"/>
        <w:autoSpaceDE/>
        <w:autoSpaceDN/>
        <w:bidi w:val="0"/>
        <w:adjustRightInd/>
        <w:snapToGrid/>
        <w:spacing w:line="192" w:lineRule="auto"/>
        <w:ind w:firstLine="640" w:firstLineChars="200"/>
        <w:textAlignment w:val="auto"/>
        <w:rPr>
          <w:rFonts w:hint="eastAsia" w:ascii="黑体" w:hAnsi="黑体" w:eastAsia="仿宋_GB2312" w:cs="黑体"/>
          <w:kern w:val="0"/>
          <w:sz w:val="30"/>
          <w:szCs w:val="30"/>
          <w:lang w:eastAsia="zh-CN"/>
        </w:rPr>
      </w:pPr>
      <w:r>
        <w:rPr>
          <w:rFonts w:hint="eastAsia" w:ascii="仿宋_GB2312" w:hAnsi="仿宋_GB2312" w:eastAsia="仿宋_GB2312" w:cs="仿宋_GB2312"/>
          <w:kern w:val="0"/>
          <w:sz w:val="32"/>
          <w:szCs w:val="32"/>
          <w:lang w:eastAsia="zh-CN"/>
        </w:rPr>
        <w:t>我校占地面积共</w:t>
      </w:r>
      <w:r>
        <w:rPr>
          <w:rFonts w:hint="eastAsia" w:ascii="仿宋_GB2312" w:hAnsi="仿宋_GB2312" w:eastAsia="仿宋_GB2312" w:cs="仿宋_GB2312"/>
          <w:kern w:val="0"/>
          <w:sz w:val="32"/>
          <w:szCs w:val="32"/>
          <w:lang w:val="en-US" w:eastAsia="zh-CN"/>
        </w:rPr>
        <w:t>79479.7平方米，建筑面积32054平方米，绿化面积14383平方米，体育场地面积20259平方米，共有弘毅楼、谨信楼、劝学楼、汉族食堂、回族食堂、男生宿舍、女生宿舍七栋建筑</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男女</w:t>
      </w:r>
      <w:r>
        <w:rPr>
          <w:rFonts w:hint="eastAsia" w:ascii="仿宋_GB2312" w:hAnsi="仿宋_GB2312" w:eastAsia="仿宋_GB2312" w:cs="仿宋_GB2312"/>
          <w:sz w:val="32"/>
          <w:szCs w:val="32"/>
        </w:rPr>
        <w:t>卫生间共60间，公共厕所1个</w:t>
      </w:r>
      <w:r>
        <w:rPr>
          <w:rFonts w:hint="eastAsia" w:ascii="仿宋_GB2312" w:hAnsi="仿宋_GB2312" w:eastAsia="仿宋_GB2312" w:cs="仿宋_GB2312"/>
          <w:sz w:val="32"/>
          <w:szCs w:val="32"/>
          <w:lang w:eastAsia="zh-CN"/>
        </w:rPr>
        <w:t>、绿化保洁面积大，为保证学校绿化、保洁、宿舍管理及创文、创卫等工作的顺利完成，我校需要聘用绿化人员5人、保洁人员10人、宿管4人，共19人。</w:t>
      </w:r>
    </w:p>
    <w:p>
      <w:pPr>
        <w:widowControl/>
        <w:numPr>
          <w:ilvl w:val="0"/>
          <w:numId w:val="1"/>
        </w:numPr>
        <w:ind w:firstLine="600" w:firstLineChars="200"/>
        <w:jc w:val="left"/>
        <w:rPr>
          <w:rFonts w:hint="eastAsia" w:ascii="黑体" w:hAnsi="黑体" w:eastAsia="黑体" w:cs="黑体"/>
          <w:kern w:val="0"/>
          <w:sz w:val="30"/>
          <w:szCs w:val="30"/>
        </w:rPr>
      </w:pPr>
      <w:r>
        <w:rPr>
          <w:rFonts w:hint="eastAsia" w:ascii="黑体" w:hAnsi="黑体" w:eastAsia="黑体" w:cs="黑体"/>
          <w:kern w:val="0"/>
          <w:sz w:val="30"/>
          <w:szCs w:val="30"/>
        </w:rPr>
        <w:t>资金安排情况</w:t>
      </w:r>
    </w:p>
    <w:p>
      <w:pPr>
        <w:widowControl/>
        <w:ind w:firstLine="600" w:firstLineChars="200"/>
        <w:jc w:val="left"/>
        <w:rPr>
          <w:rFonts w:hint="eastAsia" w:ascii="黑体" w:hAnsi="黑体" w:eastAsia="黑体" w:cs="黑体"/>
          <w:kern w:val="0"/>
          <w:sz w:val="30"/>
          <w:szCs w:val="30"/>
        </w:rPr>
      </w:pPr>
      <w:r>
        <w:rPr>
          <w:rFonts w:hint="eastAsia" w:eastAsia="仿宋_GB2312"/>
          <w:kern w:val="0"/>
          <w:sz w:val="30"/>
          <w:szCs w:val="30"/>
        </w:rPr>
        <w:t>我校需要聘用绿化人员5人、保洁人员10人、宿管4人，共19人，所需服务费为</w:t>
      </w:r>
      <w:r>
        <w:rPr>
          <w:rFonts w:hint="eastAsia" w:eastAsia="仿宋_GB2312"/>
          <w:kern w:val="0"/>
          <w:sz w:val="30"/>
          <w:szCs w:val="30"/>
          <w:lang w:val="en-US" w:eastAsia="zh-CN"/>
        </w:rPr>
        <w:t>0.</w:t>
      </w:r>
      <w:r>
        <w:rPr>
          <w:rFonts w:hint="eastAsia" w:eastAsia="仿宋_GB2312"/>
          <w:kern w:val="0"/>
          <w:sz w:val="30"/>
          <w:szCs w:val="30"/>
        </w:rPr>
        <w:t>2</w:t>
      </w:r>
      <w:r>
        <w:rPr>
          <w:rFonts w:hint="eastAsia" w:eastAsia="仿宋_GB2312"/>
          <w:kern w:val="0"/>
          <w:sz w:val="30"/>
          <w:szCs w:val="30"/>
          <w:lang w:val="en-US" w:eastAsia="zh-CN"/>
        </w:rPr>
        <w:t>8万</w:t>
      </w:r>
      <w:r>
        <w:rPr>
          <w:rFonts w:hint="eastAsia" w:eastAsia="仿宋_GB2312"/>
          <w:kern w:val="0"/>
          <w:sz w:val="30"/>
          <w:szCs w:val="30"/>
        </w:rPr>
        <w:t>元/人×19人×12月=62</w:t>
      </w:r>
      <w:r>
        <w:rPr>
          <w:rFonts w:hint="eastAsia" w:eastAsia="仿宋_GB2312"/>
          <w:kern w:val="0"/>
          <w:sz w:val="30"/>
          <w:szCs w:val="30"/>
          <w:lang w:val="en-US" w:eastAsia="zh-CN"/>
        </w:rPr>
        <w:t>.</w:t>
      </w:r>
      <w:r>
        <w:rPr>
          <w:rFonts w:hint="eastAsia" w:eastAsia="仿宋_GB2312"/>
          <w:kern w:val="0"/>
          <w:sz w:val="30"/>
          <w:szCs w:val="30"/>
        </w:rPr>
        <w:t>70</w:t>
      </w:r>
      <w:r>
        <w:rPr>
          <w:rFonts w:hint="eastAsia" w:eastAsia="仿宋_GB2312"/>
          <w:kern w:val="0"/>
          <w:sz w:val="30"/>
          <w:szCs w:val="30"/>
          <w:lang w:eastAsia="zh-CN"/>
        </w:rPr>
        <w:t>万</w:t>
      </w:r>
      <w:bookmarkStart w:id="0" w:name="_GoBack"/>
      <w:bookmarkEnd w:id="0"/>
      <w:r>
        <w:rPr>
          <w:rFonts w:hint="eastAsia" w:eastAsia="仿宋_GB2312"/>
          <w:kern w:val="0"/>
          <w:sz w:val="30"/>
          <w:szCs w:val="30"/>
        </w:rPr>
        <w:t>元。</w:t>
      </w:r>
    </w:p>
    <w:p>
      <w:pPr>
        <w:widowControl/>
        <w:numPr>
          <w:ilvl w:val="0"/>
          <w:numId w:val="1"/>
        </w:numPr>
        <w:ind w:firstLine="600" w:firstLineChars="200"/>
        <w:jc w:val="left"/>
        <w:rPr>
          <w:rFonts w:hint="eastAsia" w:ascii="黑体" w:hAnsi="黑体" w:eastAsia="黑体" w:cs="黑体"/>
          <w:kern w:val="0"/>
          <w:sz w:val="30"/>
          <w:szCs w:val="30"/>
        </w:rPr>
      </w:pPr>
      <w:r>
        <w:rPr>
          <w:rFonts w:hint="eastAsia" w:ascii="黑体" w:hAnsi="黑体" w:eastAsia="黑体" w:cs="黑体"/>
          <w:kern w:val="0"/>
          <w:sz w:val="30"/>
          <w:szCs w:val="30"/>
        </w:rPr>
        <w:t>项目实施计划</w:t>
      </w:r>
    </w:p>
    <w:p>
      <w:pPr>
        <w:keepNext w:val="0"/>
        <w:keepLines w:val="0"/>
        <w:pageBreakBefore w:val="0"/>
        <w:widowControl/>
        <w:numPr>
          <w:ilvl w:val="0"/>
          <w:numId w:val="0"/>
        </w:numPr>
        <w:kinsoku/>
        <w:wordWrap/>
        <w:overflowPunct/>
        <w:topLinePunct w:val="0"/>
        <w:autoSpaceDE/>
        <w:autoSpaceDN/>
        <w:bidi w:val="0"/>
        <w:adjustRightInd/>
        <w:snapToGrid/>
        <w:ind w:firstLine="640" w:firstLineChars="200"/>
        <w:jc w:val="left"/>
        <w:textAlignment w:val="auto"/>
        <w:rPr>
          <w:rFonts w:hint="eastAsia" w:ascii="黑体" w:hAnsi="黑体" w:eastAsia="黑体" w:cs="黑体"/>
          <w:kern w:val="0"/>
          <w:sz w:val="30"/>
          <w:szCs w:val="30"/>
        </w:rPr>
      </w:pPr>
      <w:r>
        <w:rPr>
          <w:rFonts w:hint="eastAsia" w:ascii="仿宋_GB2312" w:hAnsi="仿宋_GB2312" w:eastAsia="仿宋_GB2312" w:cs="仿宋_GB2312"/>
          <w:kern w:val="0"/>
          <w:sz w:val="32"/>
          <w:szCs w:val="32"/>
        </w:rPr>
        <w:t>满足学校</w:t>
      </w:r>
      <w:r>
        <w:rPr>
          <w:rFonts w:hint="eastAsia" w:ascii="仿宋_GB2312" w:hAnsi="仿宋_GB2312" w:eastAsia="仿宋_GB2312" w:cs="仿宋_GB2312"/>
          <w:kern w:val="0"/>
          <w:sz w:val="32"/>
          <w:szCs w:val="32"/>
          <w:lang w:eastAsia="zh-CN"/>
        </w:rPr>
        <w:t>绿化保洁及宿舍管理</w:t>
      </w:r>
      <w:r>
        <w:rPr>
          <w:rFonts w:hint="eastAsia" w:ascii="仿宋_GB2312" w:hAnsi="仿宋_GB2312" w:eastAsia="仿宋_GB2312" w:cs="仿宋_GB2312"/>
          <w:kern w:val="0"/>
          <w:sz w:val="32"/>
          <w:szCs w:val="32"/>
        </w:rPr>
        <w:t>的需求，</w:t>
      </w:r>
      <w:r>
        <w:rPr>
          <w:rFonts w:hint="eastAsia" w:ascii="仿宋_GB2312" w:hAnsi="仿宋_GB2312" w:eastAsia="仿宋_GB2312" w:cs="仿宋_GB2312"/>
          <w:kern w:val="0"/>
          <w:sz w:val="32"/>
          <w:szCs w:val="32"/>
          <w:lang w:eastAsia="zh-CN"/>
        </w:rPr>
        <w:t>保证后勤服务质量和水平，</w:t>
      </w:r>
      <w:r>
        <w:rPr>
          <w:rFonts w:hint="eastAsia" w:ascii="仿宋_GB2312" w:hAnsi="仿宋_GB2312" w:eastAsia="仿宋_GB2312" w:cs="仿宋_GB2312"/>
          <w:kern w:val="0"/>
          <w:sz w:val="32"/>
          <w:szCs w:val="32"/>
        </w:rPr>
        <w:t>让学校能够顺利开展教育教学活动，保持我校创建的“云南省文明学校”、“云南省绿色学校”、“云南省园林单位”、“昆明市绿色学校”的荣誉</w:t>
      </w:r>
      <w:r>
        <w:rPr>
          <w:rFonts w:hint="eastAsia" w:ascii="仿宋_GB2312" w:hAnsi="仿宋_GB2312" w:eastAsia="仿宋_GB2312" w:cs="仿宋_GB2312"/>
          <w:kern w:val="0"/>
          <w:sz w:val="32"/>
          <w:szCs w:val="32"/>
          <w:lang w:eastAsia="zh-CN"/>
        </w:rPr>
        <w:t>称号。</w:t>
      </w:r>
    </w:p>
    <w:p>
      <w:pPr>
        <w:widowControl/>
        <w:numPr>
          <w:ilvl w:val="0"/>
          <w:numId w:val="1"/>
        </w:numPr>
        <w:ind w:firstLine="600" w:firstLineChars="200"/>
        <w:jc w:val="left"/>
        <w:rPr>
          <w:rFonts w:hint="eastAsia" w:ascii="黑体" w:hAnsi="黑体" w:eastAsia="黑体" w:cs="黑体"/>
          <w:kern w:val="0"/>
          <w:sz w:val="30"/>
          <w:szCs w:val="30"/>
        </w:rPr>
      </w:pPr>
      <w:r>
        <w:rPr>
          <w:rFonts w:hint="eastAsia" w:ascii="黑体" w:hAnsi="黑体" w:eastAsia="黑体" w:cs="黑体"/>
          <w:kern w:val="0"/>
          <w:sz w:val="30"/>
          <w:szCs w:val="30"/>
        </w:rPr>
        <w:t>项目实施成效</w:t>
      </w:r>
    </w:p>
    <w:p>
      <w:pPr>
        <w:keepNext w:val="0"/>
        <w:keepLines w:val="0"/>
        <w:pageBreakBefore w:val="0"/>
        <w:widowControl/>
        <w:numPr>
          <w:ilvl w:val="0"/>
          <w:numId w:val="0"/>
        </w:numPr>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校园干净整洁，绿植生长良好、环境优美，宿舍干净整齐，管理有序。</w:t>
      </w:r>
    </w:p>
    <w:p>
      <w:pPr>
        <w:widowControl/>
        <w:numPr>
          <w:ilvl w:val="0"/>
          <w:numId w:val="1"/>
        </w:numPr>
        <w:ind w:firstLine="600" w:firstLineChars="200"/>
        <w:jc w:val="left"/>
        <w:rPr>
          <w:rFonts w:hint="eastAsia" w:ascii="黑体" w:hAnsi="黑体" w:eastAsia="黑体" w:cs="黑体"/>
          <w:kern w:val="0"/>
          <w:sz w:val="30"/>
          <w:szCs w:val="30"/>
        </w:rPr>
      </w:pPr>
      <w:r>
        <w:rPr>
          <w:rFonts w:hint="eastAsia" w:ascii="黑体" w:hAnsi="黑体" w:eastAsia="黑体" w:cs="黑体"/>
          <w:kern w:val="0"/>
          <w:sz w:val="30"/>
          <w:szCs w:val="30"/>
        </w:rPr>
        <w:t>项目绩效目标表</w:t>
      </w:r>
    </w:p>
    <w:tbl>
      <w:tblPr>
        <w:tblStyle w:val="2"/>
        <w:tblpPr w:leftFromText="180" w:rightFromText="180" w:vertAnchor="text" w:horzAnchor="page" w:tblpX="1077" w:tblpY="13"/>
        <w:tblOverlap w:val="never"/>
        <w:tblW w:w="9377" w:type="dxa"/>
        <w:tblInd w:w="0" w:type="dxa"/>
        <w:shd w:val="clear" w:color="auto" w:fill="auto"/>
        <w:tblLayout w:type="autofit"/>
        <w:tblCellMar>
          <w:top w:w="0" w:type="dxa"/>
          <w:left w:w="0" w:type="dxa"/>
          <w:bottom w:w="0" w:type="dxa"/>
          <w:right w:w="0" w:type="dxa"/>
        </w:tblCellMar>
      </w:tblPr>
      <w:tblGrid>
        <w:gridCol w:w="506"/>
        <w:gridCol w:w="1027"/>
        <w:gridCol w:w="1072"/>
        <w:gridCol w:w="1369"/>
        <w:gridCol w:w="744"/>
        <w:gridCol w:w="1116"/>
        <w:gridCol w:w="789"/>
        <w:gridCol w:w="2754"/>
      </w:tblGrid>
      <w:tr>
        <w:tblPrEx>
          <w:shd w:val="clear" w:color="auto" w:fill="auto"/>
          <w:tblCellMar>
            <w:top w:w="0" w:type="dxa"/>
            <w:left w:w="0" w:type="dxa"/>
            <w:bottom w:w="0" w:type="dxa"/>
            <w:right w:w="0" w:type="dxa"/>
          </w:tblCellMar>
        </w:tblPrEx>
        <w:trPr>
          <w:trHeight w:val="870" w:hRule="atLeast"/>
        </w:trPr>
        <w:tc>
          <w:tcPr>
            <w:tcW w:w="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02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0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13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指标性质</w:t>
            </w:r>
          </w:p>
        </w:tc>
        <w:tc>
          <w:tcPr>
            <w:tcW w:w="11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指标值</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指标属性</w:t>
            </w:r>
          </w:p>
        </w:tc>
        <w:tc>
          <w:tcPr>
            <w:tcW w:w="27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指标内容</w:t>
            </w:r>
          </w:p>
        </w:tc>
      </w:tr>
      <w:tr>
        <w:tblPrEx>
          <w:shd w:val="clear" w:color="auto" w:fill="auto"/>
          <w:tblCellMar>
            <w:top w:w="0" w:type="dxa"/>
            <w:left w:w="0" w:type="dxa"/>
            <w:bottom w:w="0" w:type="dxa"/>
            <w:right w:w="0" w:type="dxa"/>
          </w:tblCellMar>
        </w:tblPrEx>
        <w:trPr>
          <w:trHeight w:val="870" w:hRule="atLeast"/>
        </w:trPr>
        <w:tc>
          <w:tcPr>
            <w:tcW w:w="5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校园绿化保洁经费</w:t>
            </w:r>
          </w:p>
        </w:tc>
        <w:tc>
          <w:tcPr>
            <w:tcW w:w="10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0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1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绿化管养面积</w:t>
            </w:r>
          </w:p>
        </w:tc>
        <w:tc>
          <w:tcPr>
            <w:tcW w:w="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w:t>
            </w:r>
          </w:p>
        </w:tc>
        <w:tc>
          <w:tcPr>
            <w:tcW w:w="11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14383</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定量指标</w:t>
            </w:r>
          </w:p>
        </w:tc>
        <w:tc>
          <w:tcPr>
            <w:tcW w:w="27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反映办公区室外绿化管养面积的情况。</w:t>
            </w:r>
          </w:p>
        </w:tc>
      </w:tr>
      <w:tr>
        <w:tblPrEx>
          <w:shd w:val="clear" w:color="auto" w:fill="auto"/>
          <w:tblCellMar>
            <w:top w:w="0" w:type="dxa"/>
            <w:left w:w="0" w:type="dxa"/>
            <w:bottom w:w="0" w:type="dxa"/>
            <w:right w:w="0" w:type="dxa"/>
          </w:tblCellMar>
        </w:tblPrEx>
        <w:trPr>
          <w:trHeight w:val="1154" w:hRule="atLeast"/>
        </w:trPr>
        <w:tc>
          <w:tcPr>
            <w:tcW w:w="5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7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1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绿化存活率</w:t>
            </w:r>
          </w:p>
        </w:tc>
        <w:tc>
          <w:tcPr>
            <w:tcW w:w="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定性指标</w:t>
            </w:r>
          </w:p>
        </w:tc>
        <w:tc>
          <w:tcPr>
            <w:tcW w:w="27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反映绿化存活的情况。绿化存活率=存活绿化数（面积）/总绿化数（面积）*100%</w:t>
            </w:r>
          </w:p>
        </w:tc>
      </w:tr>
      <w:tr>
        <w:tblPrEx>
          <w:shd w:val="clear" w:color="auto" w:fill="auto"/>
          <w:tblCellMar>
            <w:top w:w="0" w:type="dxa"/>
            <w:left w:w="0" w:type="dxa"/>
            <w:bottom w:w="0" w:type="dxa"/>
            <w:right w:w="0" w:type="dxa"/>
          </w:tblCellMar>
        </w:tblPrEx>
        <w:trPr>
          <w:trHeight w:val="1528" w:hRule="atLeast"/>
        </w:trPr>
        <w:tc>
          <w:tcPr>
            <w:tcW w:w="5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7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卫生保洁合格率</w:t>
            </w:r>
          </w:p>
        </w:tc>
        <w:tc>
          <w:tcPr>
            <w:tcW w:w="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定性指标</w:t>
            </w:r>
          </w:p>
        </w:tc>
        <w:tc>
          <w:tcPr>
            <w:tcW w:w="27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反映卫生保洁检查验收合格的情况。卫生保洁合格率=卫生保洁检查验收合格次数/卫生保洁总次数*100%</w:t>
            </w:r>
          </w:p>
        </w:tc>
      </w:tr>
      <w:tr>
        <w:tblPrEx>
          <w:shd w:val="clear" w:color="auto" w:fill="auto"/>
          <w:tblCellMar>
            <w:top w:w="0" w:type="dxa"/>
            <w:left w:w="0" w:type="dxa"/>
            <w:bottom w:w="0" w:type="dxa"/>
            <w:right w:w="0" w:type="dxa"/>
          </w:tblCellMar>
        </w:tblPrEx>
        <w:trPr>
          <w:trHeight w:val="1154" w:hRule="atLeast"/>
        </w:trPr>
        <w:tc>
          <w:tcPr>
            <w:tcW w:w="5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7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物管人员在岗率</w:t>
            </w:r>
          </w:p>
        </w:tc>
        <w:tc>
          <w:tcPr>
            <w:tcW w:w="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w:t>
            </w:r>
          </w:p>
        </w:tc>
        <w:tc>
          <w:tcPr>
            <w:tcW w:w="11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定量指标</w:t>
            </w:r>
          </w:p>
        </w:tc>
        <w:tc>
          <w:tcPr>
            <w:tcW w:w="27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反映安保、消防服务人员等物管人员在岗的情况。物管人员在岗率=实际在岗工时/应在岗工时*100%</w:t>
            </w:r>
          </w:p>
        </w:tc>
      </w:tr>
      <w:tr>
        <w:tblPrEx>
          <w:shd w:val="clear" w:color="auto" w:fill="auto"/>
          <w:tblCellMar>
            <w:top w:w="0" w:type="dxa"/>
            <w:left w:w="0" w:type="dxa"/>
            <w:bottom w:w="0" w:type="dxa"/>
            <w:right w:w="0" w:type="dxa"/>
          </w:tblCellMar>
        </w:tblPrEx>
        <w:trPr>
          <w:trHeight w:val="1154" w:hRule="atLeast"/>
        </w:trPr>
        <w:tc>
          <w:tcPr>
            <w:tcW w:w="5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1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后勤保障成本</w:t>
            </w:r>
          </w:p>
        </w:tc>
        <w:tc>
          <w:tcPr>
            <w:tcW w:w="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&lt;=</w:t>
            </w:r>
          </w:p>
        </w:tc>
        <w:tc>
          <w:tcPr>
            <w:tcW w:w="11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2750元/人，19人</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定量指标</w:t>
            </w:r>
          </w:p>
        </w:tc>
        <w:tc>
          <w:tcPr>
            <w:tcW w:w="27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反映人均后勤管理服务的成本控制情况，包括合同约定的服务区域总和。</w:t>
            </w:r>
          </w:p>
        </w:tc>
      </w:tr>
      <w:tr>
        <w:tblPrEx>
          <w:shd w:val="clear" w:color="auto" w:fill="auto"/>
          <w:tblCellMar>
            <w:top w:w="0" w:type="dxa"/>
            <w:left w:w="0" w:type="dxa"/>
            <w:bottom w:w="0" w:type="dxa"/>
            <w:right w:w="0" w:type="dxa"/>
          </w:tblCellMar>
        </w:tblPrEx>
        <w:trPr>
          <w:trHeight w:val="1528" w:hRule="atLeast"/>
        </w:trPr>
        <w:tc>
          <w:tcPr>
            <w:tcW w:w="5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10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1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物业服务需求保障程度</w:t>
            </w:r>
          </w:p>
        </w:tc>
        <w:tc>
          <w:tcPr>
            <w:tcW w:w="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定性指标</w:t>
            </w:r>
          </w:p>
        </w:tc>
        <w:tc>
          <w:tcPr>
            <w:tcW w:w="27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反映绿化、安保、安防、保洁等服务满足委托单位的程度。（实际运用时根据项目对物业的需求，主要通过整体评价的方式进行评价。）</w:t>
            </w:r>
          </w:p>
        </w:tc>
      </w:tr>
      <w:tr>
        <w:tblPrEx>
          <w:tblCellMar>
            <w:top w:w="0" w:type="dxa"/>
            <w:left w:w="0" w:type="dxa"/>
            <w:bottom w:w="0" w:type="dxa"/>
            <w:right w:w="0" w:type="dxa"/>
          </w:tblCellMar>
        </w:tblPrEx>
        <w:trPr>
          <w:trHeight w:val="882" w:hRule="atLeast"/>
        </w:trPr>
        <w:tc>
          <w:tcPr>
            <w:tcW w:w="5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10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13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服务受益人员满意度</w:t>
            </w:r>
          </w:p>
        </w:tc>
        <w:tc>
          <w:tcPr>
            <w:tcW w:w="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定性指标</w:t>
            </w:r>
          </w:p>
        </w:tc>
        <w:tc>
          <w:tcPr>
            <w:tcW w:w="27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反映保安、保洁、餐饮服务、绿化养护服务受益人员满意程度。</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仿宋_GB2312"/>
    <w:panose1 w:val="02010601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0CB686"/>
    <w:multiLevelType w:val="singleLevel"/>
    <w:tmpl w:val="650CB68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ZlNTE3MTNlYTE2ZTEwNTBkNjI3NmNkNDZmYmIyMDUifQ=="/>
  </w:docVars>
  <w:rsids>
    <w:rsidRoot w:val="7DF60AD5"/>
    <w:rsid w:val="6F55411C"/>
    <w:rsid w:val="7DF60A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1223</Words>
  <Characters>1337</Characters>
  <Lines>0</Lines>
  <Paragraphs>0</Paragraphs>
  <TotalTime>1</TotalTime>
  <ScaleCrop>false</ScaleCrop>
  <LinksUpToDate>false</LinksUpToDate>
  <CharactersWithSpaces>1338</CharactersWithSpaces>
  <Application>WPS Office_11.1.0.11805_F1E327BC-269C-435d-A152-05C5408002CA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2022-02-09T10:13:00Z</dcterms:created>
  <dc:creator>LENOVO</dc:creator>
  <cp:lastModifiedBy>CW</cp:lastModifiedBy>
  <dcterms:modified xsi:type="dcterms:W3CDTF">2022-06-13T02:45:56Z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2052-11.1.0.11805</vt:lpwstr>
  </property>
  <property fmtid="{D5CDD505-2E9C-101B-9397-08002B2CF9AE}" pid="3" name="ICV">
    <vt:lpwstr>DC391F7B227749C9B4BAF31AC842AC38</vt:lpwstr>
  </property>
</Properties>
</file>