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0" w:lineRule="exact"/>
        <w:jc w:val="center"/>
        <w:rPr>
          <w:rFonts w:ascii="方正小标宋简体" w:hAnsi="华文中宋" w:eastAsia="方正小标宋简体"/>
          <w:spacing w:val="14"/>
          <w:sz w:val="44"/>
          <w:szCs w:val="44"/>
        </w:rPr>
      </w:pPr>
    </w:p>
    <w:p>
      <w:pPr>
        <w:snapToGrid w:val="0"/>
        <w:spacing w:line="570" w:lineRule="exact"/>
        <w:jc w:val="center"/>
        <w:rPr>
          <w:rFonts w:ascii="方正小标宋简体" w:hAnsi="华文中宋" w:eastAsia="方正小标宋简体"/>
          <w:spacing w:val="14"/>
          <w:sz w:val="36"/>
          <w:szCs w:val="36"/>
        </w:rPr>
      </w:pPr>
      <w:r>
        <w:rPr>
          <w:rFonts w:hint="eastAsia" w:ascii="方正小标宋简体" w:eastAsia="方正小标宋简体"/>
          <w:sz w:val="36"/>
          <w:szCs w:val="36"/>
        </w:rPr>
        <w:t>中国共产党昆明市呈贡区委员会宣传部2022年</w:t>
      </w:r>
      <w:r>
        <w:rPr>
          <w:rFonts w:hint="eastAsia" w:ascii="方正小标宋简体" w:hAnsi="华文中宋" w:eastAsia="方正小标宋简体"/>
          <w:spacing w:val="14"/>
          <w:sz w:val="36"/>
          <w:szCs w:val="36"/>
        </w:rPr>
        <w:t>创文长效机制经费项目</w:t>
      </w:r>
    </w:p>
    <w:p>
      <w:pPr>
        <w:snapToGrid w:val="0"/>
        <w:spacing w:line="570" w:lineRule="exact"/>
        <w:jc w:val="center"/>
        <w:rPr>
          <w:rFonts w:ascii="方正小标宋简体" w:hAnsi="华文中宋" w:eastAsia="方正小标宋简体"/>
          <w:spacing w:val="14"/>
          <w:sz w:val="44"/>
          <w:szCs w:val="44"/>
        </w:rPr>
      </w:pPr>
    </w:p>
    <w:p>
      <w:pPr>
        <w:widowControl/>
        <w:numPr>
          <w:ilvl w:val="0"/>
          <w:numId w:val="1"/>
        </w:numPr>
        <w:ind w:firstLine="600" w:firstLineChars="200"/>
        <w:jc w:val="left"/>
        <w:rPr>
          <w:rFonts w:ascii="黑体" w:hAnsi="黑体" w:eastAsia="黑体"/>
          <w:kern w:val="0"/>
          <w:sz w:val="30"/>
          <w:szCs w:val="30"/>
        </w:rPr>
      </w:pPr>
      <w:r>
        <w:rPr>
          <w:rFonts w:hint="eastAsia" w:ascii="黑体" w:hAnsi="黑体" w:eastAsia="黑体"/>
          <w:kern w:val="0"/>
          <w:sz w:val="30"/>
          <w:szCs w:val="30"/>
        </w:rPr>
        <w:t>项目名称</w:t>
      </w:r>
    </w:p>
    <w:p>
      <w:pPr>
        <w:widowControl/>
        <w:ind w:firstLine="522" w:firstLineChars="150"/>
        <w:jc w:val="left"/>
        <w:rPr>
          <w:rFonts w:ascii="仿宋" w:hAnsi="仿宋" w:eastAsia="仿宋" w:cs="仿宋_GB2312"/>
          <w:spacing w:val="14"/>
          <w:sz w:val="32"/>
          <w:szCs w:val="32"/>
        </w:rPr>
      </w:pPr>
      <w:r>
        <w:rPr>
          <w:rFonts w:hint="eastAsia" w:ascii="仿宋" w:hAnsi="仿宋" w:eastAsia="仿宋" w:cs="仿宋_GB2312"/>
          <w:spacing w:val="14"/>
          <w:sz w:val="32"/>
          <w:szCs w:val="32"/>
        </w:rPr>
        <w:t>创文长效机制经费</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立项依据</w:t>
      </w:r>
    </w:p>
    <w:p>
      <w:pPr>
        <w:widowControl/>
        <w:ind w:firstLine="600" w:firstLineChars="200"/>
        <w:jc w:val="left"/>
        <w:rPr>
          <w:rFonts w:eastAsia="仿宋_GB2312"/>
          <w:kern w:val="0"/>
          <w:sz w:val="30"/>
          <w:szCs w:val="30"/>
        </w:rPr>
      </w:pPr>
      <w:r>
        <w:rPr>
          <w:rFonts w:hint="eastAsia" w:eastAsia="仿宋_GB2312"/>
          <w:kern w:val="0"/>
          <w:sz w:val="30"/>
          <w:szCs w:val="30"/>
        </w:rPr>
        <w:t>按照区委、区政府工作安排。昆办通55号《市“两办”关于印发&lt;常态长效推进创建全国文明城市工作实施方案&gt;的通知》</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项目实施单位</w:t>
      </w:r>
    </w:p>
    <w:p>
      <w:pPr>
        <w:widowControl/>
        <w:ind w:firstLine="696" w:firstLineChars="200"/>
        <w:jc w:val="left"/>
        <w:rPr>
          <w:rFonts w:ascii="仿宋" w:hAnsi="仿宋" w:eastAsia="仿宋" w:cs="仿宋_GB2312"/>
          <w:spacing w:val="14"/>
          <w:sz w:val="32"/>
          <w:szCs w:val="32"/>
        </w:rPr>
      </w:pPr>
      <w:r>
        <w:rPr>
          <w:rFonts w:hint="eastAsia" w:ascii="仿宋" w:hAnsi="仿宋" w:eastAsia="仿宋" w:cs="仿宋_GB2312"/>
          <w:spacing w:val="14"/>
          <w:sz w:val="32"/>
          <w:szCs w:val="32"/>
        </w:rPr>
        <w:t>单位名称：中国共产党昆明市呈贡区委员会宣传部</w:t>
      </w:r>
    </w:p>
    <w:p>
      <w:pPr>
        <w:widowControl/>
        <w:ind w:firstLine="696" w:firstLineChars="200"/>
        <w:jc w:val="left"/>
        <w:rPr>
          <w:rFonts w:ascii="仿宋" w:hAnsi="仿宋" w:eastAsia="仿宋" w:cs="仿宋_GB2312"/>
          <w:spacing w:val="14"/>
          <w:sz w:val="32"/>
          <w:szCs w:val="32"/>
        </w:rPr>
      </w:pPr>
      <w:r>
        <w:rPr>
          <w:rFonts w:hint="eastAsia" w:ascii="仿宋" w:hAnsi="仿宋" w:eastAsia="仿宋" w:cs="仿宋_GB2312"/>
          <w:spacing w:val="14"/>
          <w:sz w:val="32"/>
          <w:szCs w:val="32"/>
        </w:rPr>
        <w:t>组织机构代码：115301210151295790</w:t>
      </w:r>
    </w:p>
    <w:p>
      <w:pPr>
        <w:widowControl/>
        <w:ind w:firstLine="696" w:firstLineChars="200"/>
        <w:jc w:val="left"/>
        <w:rPr>
          <w:rFonts w:ascii="仿宋" w:hAnsi="仿宋" w:eastAsia="仿宋" w:cs="仿宋_GB2312"/>
          <w:spacing w:val="14"/>
          <w:sz w:val="32"/>
          <w:szCs w:val="32"/>
        </w:rPr>
      </w:pPr>
      <w:r>
        <w:rPr>
          <w:rFonts w:hint="eastAsia" w:ascii="仿宋" w:hAnsi="仿宋" w:eastAsia="仿宋" w:cs="仿宋_GB2312"/>
          <w:spacing w:val="14"/>
          <w:sz w:val="32"/>
          <w:szCs w:val="32"/>
        </w:rPr>
        <w:t>地址：昆明市呈贡区龙城街道祥和街547号公安大楼9楼</w:t>
      </w:r>
    </w:p>
    <w:p>
      <w:pPr>
        <w:widowControl/>
        <w:ind w:firstLine="696" w:firstLineChars="200"/>
        <w:jc w:val="left"/>
        <w:rPr>
          <w:rFonts w:ascii="仿宋" w:hAnsi="仿宋" w:eastAsia="仿宋" w:cs="仿宋_GB2312"/>
          <w:spacing w:val="14"/>
          <w:sz w:val="32"/>
          <w:szCs w:val="32"/>
        </w:rPr>
      </w:pPr>
      <w:r>
        <w:rPr>
          <w:rFonts w:hint="eastAsia" w:ascii="仿宋" w:hAnsi="仿宋" w:eastAsia="仿宋" w:cs="仿宋_GB2312"/>
          <w:spacing w:val="14"/>
          <w:sz w:val="32"/>
          <w:szCs w:val="32"/>
        </w:rPr>
        <w:t>联系电话：0871-67479273</w:t>
      </w:r>
    </w:p>
    <w:p>
      <w:pPr>
        <w:widowControl/>
        <w:ind w:firstLine="696" w:firstLineChars="200"/>
        <w:jc w:val="left"/>
        <w:rPr>
          <w:rFonts w:ascii="仿宋" w:hAnsi="仿宋" w:eastAsia="仿宋" w:cs="仿宋_GB2312"/>
          <w:spacing w:val="14"/>
          <w:sz w:val="32"/>
          <w:szCs w:val="32"/>
        </w:rPr>
      </w:pPr>
      <w:r>
        <w:rPr>
          <w:rFonts w:hint="eastAsia" w:ascii="仿宋" w:hAnsi="仿宋" w:eastAsia="仿宋" w:cs="仿宋_GB2312"/>
          <w:spacing w:val="14"/>
          <w:sz w:val="32"/>
          <w:szCs w:val="32"/>
        </w:rPr>
        <w:t>法人代表：李晓云</w:t>
      </w:r>
    </w:p>
    <w:p>
      <w:pPr>
        <w:widowControl/>
        <w:ind w:firstLine="696" w:firstLineChars="200"/>
        <w:jc w:val="left"/>
        <w:rPr>
          <w:rFonts w:ascii="仿宋" w:hAnsi="仿宋" w:eastAsia="仿宋" w:cs="仿宋_GB2312"/>
          <w:spacing w:val="14"/>
          <w:sz w:val="32"/>
          <w:szCs w:val="32"/>
        </w:rPr>
      </w:pPr>
      <w:r>
        <w:rPr>
          <w:rFonts w:hint="eastAsia" w:ascii="仿宋" w:hAnsi="仿宋" w:eastAsia="仿宋" w:cs="仿宋_GB2312"/>
          <w:spacing w:val="14"/>
          <w:sz w:val="32"/>
          <w:szCs w:val="32"/>
        </w:rPr>
        <w:t>经费来源：区级财政预算</w:t>
      </w:r>
    </w:p>
    <w:p>
      <w:pPr>
        <w:widowControl/>
        <w:spacing w:line="560" w:lineRule="exact"/>
        <w:ind w:firstLine="696" w:firstLineChars="200"/>
        <w:jc w:val="left"/>
        <w:rPr>
          <w:rFonts w:hint="eastAsia" w:ascii="仿宋_GB2312" w:hAnsi="仿宋_GB2312" w:eastAsia="仿宋_GB2312" w:cs="仿宋_GB2312"/>
          <w:kern w:val="0"/>
          <w:sz w:val="30"/>
          <w:szCs w:val="30"/>
        </w:rPr>
      </w:pPr>
      <w:r>
        <w:rPr>
          <w:rFonts w:hint="eastAsia" w:ascii="仿宋" w:hAnsi="仿宋" w:eastAsia="仿宋" w:cs="仿宋_GB2312"/>
          <w:spacing w:val="14"/>
          <w:sz w:val="32"/>
          <w:szCs w:val="32"/>
        </w:rPr>
        <w:t>单位概况：</w:t>
      </w:r>
      <w:bookmarkStart w:id="0" w:name="_GoBack"/>
      <w:r>
        <w:rPr>
          <w:rFonts w:hint="eastAsia" w:ascii="仿宋_GB2312" w:hAnsi="仿宋_GB2312" w:eastAsia="仿宋_GB2312" w:cs="仿宋_GB2312"/>
          <w:spacing w:val="14"/>
          <w:sz w:val="30"/>
          <w:szCs w:val="30"/>
        </w:rPr>
        <w:t>中国共产党昆明市呈贡区委员会宣传部是中共昆明市呈贡区委主管意识形态方面工作的职能部门，为正科级，列区委机构系列。加挂昆明市呈贡区新闻出版（版权）局、昆明市呈贡区广播电视局、昆明市呈贡区政府新闻办公室牌子。内设2个二级预算单位，分别为区文联、区融媒体中心。</w:t>
      </w:r>
      <w:r>
        <w:rPr>
          <w:rFonts w:hint="eastAsia" w:ascii="仿宋_GB2312" w:hAnsi="仿宋_GB2312" w:eastAsia="仿宋_GB2312" w:cs="仿宋_GB2312"/>
          <w:kern w:val="0"/>
          <w:sz w:val="30"/>
          <w:szCs w:val="30"/>
        </w:rPr>
        <w:t>宣传部机关下设7个科室，分别为办公室、理论科、文化文产科、新闻宣传科、广电出版（版权）电影科、区委网信办秘书科、区文明办。</w:t>
      </w:r>
    </w:p>
    <w:bookmarkEnd w:id="0"/>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项目基本概况</w:t>
      </w:r>
    </w:p>
    <w:p>
      <w:pPr>
        <w:widowControl/>
        <w:ind w:firstLine="696" w:firstLineChars="200"/>
        <w:jc w:val="left"/>
        <w:rPr>
          <w:rFonts w:ascii="仿宋" w:hAnsi="仿宋" w:eastAsia="仿宋" w:cs="仿宋_GB2312"/>
          <w:spacing w:val="14"/>
          <w:sz w:val="32"/>
          <w:szCs w:val="32"/>
        </w:rPr>
      </w:pPr>
      <w:r>
        <w:rPr>
          <w:rFonts w:hint="eastAsia" w:ascii="仿宋" w:hAnsi="仿宋" w:eastAsia="仿宋" w:cs="仿宋_GB2312"/>
          <w:spacing w:val="14"/>
          <w:sz w:val="32"/>
          <w:szCs w:val="32"/>
        </w:rPr>
        <w:t>健全完善全国文明城市创建常态长效机制，巩固2022年创建全国文明城市成果，迎接2022年全国文明城市创建的复审。</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项目实施内容</w:t>
      </w:r>
    </w:p>
    <w:p>
      <w:pPr>
        <w:widowControl/>
        <w:ind w:firstLine="696" w:firstLineChars="200"/>
        <w:jc w:val="left"/>
        <w:rPr>
          <w:rFonts w:ascii="仿宋" w:hAnsi="仿宋" w:eastAsia="仿宋" w:cs="仿宋_GB2312"/>
          <w:spacing w:val="14"/>
          <w:sz w:val="32"/>
          <w:szCs w:val="32"/>
        </w:rPr>
      </w:pPr>
      <w:r>
        <w:rPr>
          <w:rFonts w:hint="eastAsia" w:ascii="仿宋" w:hAnsi="仿宋" w:eastAsia="仿宋" w:cs="仿宋_GB2312"/>
          <w:spacing w:val="14"/>
          <w:sz w:val="32"/>
          <w:szCs w:val="32"/>
        </w:rPr>
        <w:t>健全完善全国文明城市创建常态长效机制，着力提升市民文明素养、城市文明程度、城市文化品位、群众生活质量，努力建设崇德向善、文化厚重、和谐宜居的城市。</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资金安排情况</w:t>
      </w:r>
    </w:p>
    <w:p>
      <w:pPr>
        <w:widowControl/>
        <w:ind w:firstLine="696" w:firstLineChars="200"/>
        <w:jc w:val="left"/>
        <w:rPr>
          <w:rFonts w:ascii="仿宋" w:hAnsi="仿宋" w:eastAsia="仿宋" w:cs="仿宋_GB2312"/>
          <w:spacing w:val="14"/>
          <w:sz w:val="32"/>
          <w:szCs w:val="32"/>
        </w:rPr>
      </w:pPr>
      <w:r>
        <w:rPr>
          <w:rFonts w:hint="eastAsia" w:ascii="仿宋" w:hAnsi="仿宋" w:eastAsia="仿宋" w:cs="仿宋_GB2312"/>
          <w:spacing w:val="14"/>
          <w:sz w:val="32"/>
          <w:szCs w:val="32"/>
        </w:rPr>
        <w:t>资金来源为区级财政，年度资金总投入828.8150万元。</w:t>
      </w:r>
    </w:p>
    <w:p>
      <w:pPr>
        <w:widowControl/>
        <w:numPr>
          <w:ilvl w:val="0"/>
          <w:numId w:val="1"/>
        </w:numPr>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项目实施计划</w:t>
      </w:r>
    </w:p>
    <w:p>
      <w:pPr>
        <w:widowControl/>
        <w:ind w:firstLine="696" w:firstLineChars="200"/>
        <w:jc w:val="left"/>
        <w:rPr>
          <w:rFonts w:ascii="仿宋" w:hAnsi="仿宋" w:eastAsia="仿宋" w:cs="仿宋_GB2312"/>
          <w:spacing w:val="14"/>
          <w:sz w:val="32"/>
          <w:szCs w:val="32"/>
        </w:rPr>
      </w:pPr>
      <w:r>
        <w:rPr>
          <w:rFonts w:hint="eastAsia" w:ascii="仿宋" w:hAnsi="仿宋" w:eastAsia="仿宋" w:cs="仿宋_GB2312"/>
          <w:spacing w:val="14"/>
          <w:sz w:val="32"/>
          <w:szCs w:val="32"/>
        </w:rPr>
        <w:t>全年计划开展创文日常巡查共计12次，创文测评2次；营造创文氛围制作更换广牌不少于55块；发放各种宣传资料制作10000份以上，进行创文宣传品制作1次；开展市容环境卫生综合整治4次以上，组织开展创文活动3次，创文志愿活动1次，新时代文明实践中心建设试点县（市、区）数量1个，参观活动50次以上；组织10支志愿服务队伍，组织培训5次以上。完成2022年度城市社区创文配套工作；</w:t>
      </w:r>
    </w:p>
    <w:p>
      <w:pPr>
        <w:widowControl/>
        <w:ind w:firstLine="696" w:firstLineChars="200"/>
        <w:jc w:val="left"/>
        <w:rPr>
          <w:rFonts w:ascii="黑体" w:hAnsi="黑体" w:eastAsia="黑体" w:cs="黑体"/>
          <w:kern w:val="0"/>
          <w:sz w:val="32"/>
          <w:szCs w:val="32"/>
        </w:rPr>
      </w:pPr>
      <w:r>
        <w:rPr>
          <w:rFonts w:hint="eastAsia" w:ascii="黑体" w:hAnsi="黑体" w:eastAsia="黑体" w:cs="仿宋_GB2312"/>
          <w:spacing w:val="14"/>
          <w:sz w:val="32"/>
          <w:szCs w:val="32"/>
        </w:rPr>
        <w:t>八、</w:t>
      </w:r>
      <w:r>
        <w:rPr>
          <w:rFonts w:hint="eastAsia" w:ascii="黑体" w:hAnsi="黑体" w:eastAsia="黑体" w:cs="黑体"/>
          <w:kern w:val="0"/>
          <w:sz w:val="32"/>
          <w:szCs w:val="32"/>
        </w:rPr>
        <w:t>项目实施成效</w:t>
      </w:r>
    </w:p>
    <w:p>
      <w:pPr>
        <w:widowControl/>
        <w:ind w:firstLine="696" w:firstLineChars="200"/>
        <w:jc w:val="left"/>
        <w:rPr>
          <w:rFonts w:ascii="仿宋" w:hAnsi="仿宋" w:eastAsia="仿宋" w:cs="仿宋_GB2312"/>
          <w:spacing w:val="14"/>
          <w:sz w:val="32"/>
          <w:szCs w:val="32"/>
        </w:rPr>
      </w:pPr>
      <w:r>
        <w:rPr>
          <w:rFonts w:hint="eastAsia" w:ascii="仿宋" w:hAnsi="仿宋" w:eastAsia="仿宋" w:cs="仿宋_GB2312"/>
          <w:spacing w:val="14"/>
          <w:sz w:val="32"/>
          <w:szCs w:val="32"/>
        </w:rPr>
        <w:t>大力营造创文氛围，全面提升创文群众知晓率，实现全区创文工作“六个不滑坡”、“六个持续提升”，实现创文年度复查达标。倡导社会新风尚，积极开展新时代文明实践活动，确保新时代文明实践活动达标。</w:t>
      </w:r>
    </w:p>
    <w:p>
      <w:pPr>
        <w:widowControl/>
        <w:ind w:firstLine="600" w:firstLineChars="200"/>
        <w:jc w:val="left"/>
        <w:rPr>
          <w:rFonts w:ascii="黑体" w:hAnsi="黑体" w:eastAsia="黑体" w:cs="黑体"/>
          <w:kern w:val="0"/>
          <w:sz w:val="30"/>
          <w:szCs w:val="30"/>
        </w:rPr>
      </w:pPr>
      <w:r>
        <w:rPr>
          <w:rFonts w:hint="eastAsia" w:ascii="黑体" w:hAnsi="黑体" w:eastAsia="黑体" w:cs="黑体"/>
          <w:kern w:val="0"/>
          <w:sz w:val="30"/>
          <w:szCs w:val="30"/>
        </w:rPr>
        <w:t>九、项目绩效目标表</w:t>
      </w:r>
    </w:p>
    <w:p>
      <w:pPr>
        <w:widowControl/>
        <w:jc w:val="left"/>
        <w:rPr>
          <w:rFonts w:ascii="黑体" w:hAnsi="黑体" w:eastAsia="黑体" w:cs="黑体"/>
          <w:kern w:val="0"/>
          <w:sz w:val="30"/>
          <w:szCs w:val="30"/>
        </w:rPr>
      </w:pPr>
      <w:r>
        <w:drawing>
          <wp:inline distT="0" distB="0" distL="114300" distR="114300">
            <wp:extent cx="5212080" cy="10661650"/>
            <wp:effectExtent l="0" t="0" r="762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12080" cy="10661650"/>
                    </a:xfrm>
                    <a:prstGeom prst="rect">
                      <a:avLst/>
                    </a:prstGeom>
                    <a:noFill/>
                    <a:ln>
                      <a:noFill/>
                    </a:ln>
                  </pic:spPr>
                </pic:pic>
              </a:graphicData>
            </a:graphic>
          </wp:inline>
        </w:drawing>
      </w:r>
    </w:p>
    <w:p>
      <w:pPr>
        <w:widowControl/>
        <w:ind w:firstLine="600" w:firstLineChars="200"/>
        <w:jc w:val="left"/>
        <w:rPr>
          <w:rFonts w:ascii="黑体" w:hAnsi="黑体" w:eastAsia="黑体" w:cs="黑体"/>
          <w:kern w:val="0"/>
          <w:sz w:val="30"/>
          <w:szCs w:val="30"/>
        </w:rPr>
      </w:pPr>
    </w:p>
    <w:p>
      <w:pPr>
        <w:widowControl/>
        <w:jc w:val="left"/>
        <w:rPr>
          <w:rFonts w:ascii="黑体" w:hAnsi="黑体" w:eastAsia="黑体" w:cs="黑体"/>
          <w:kern w:val="0"/>
          <w:sz w:val="30"/>
          <w:szCs w:val="30"/>
        </w:rPr>
      </w:pPr>
    </w:p>
    <w:p>
      <w:pPr>
        <w:widowControl/>
        <w:ind w:left="600"/>
        <w:jc w:val="left"/>
        <w:rPr>
          <w:rFonts w:ascii="黑体" w:hAnsi="黑体" w:eastAsia="黑体" w:cs="黑体"/>
          <w:kern w:val="0"/>
          <w:sz w:val="30"/>
          <w:szCs w:val="30"/>
        </w:rPr>
      </w:pPr>
    </w:p>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65AFE"/>
    <w:rsid w:val="00070204"/>
    <w:rsid w:val="00073344"/>
    <w:rsid w:val="00074721"/>
    <w:rsid w:val="000769F7"/>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E7E7C"/>
    <w:rsid w:val="000F365A"/>
    <w:rsid w:val="000F4C86"/>
    <w:rsid w:val="00104377"/>
    <w:rsid w:val="001046C0"/>
    <w:rsid w:val="00104701"/>
    <w:rsid w:val="00110EAA"/>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B256C"/>
    <w:rsid w:val="001C1C89"/>
    <w:rsid w:val="001C55D5"/>
    <w:rsid w:val="001D120C"/>
    <w:rsid w:val="001E03BD"/>
    <w:rsid w:val="001E684A"/>
    <w:rsid w:val="00200BD6"/>
    <w:rsid w:val="00203472"/>
    <w:rsid w:val="00216177"/>
    <w:rsid w:val="002230AE"/>
    <w:rsid w:val="002247D0"/>
    <w:rsid w:val="00224F80"/>
    <w:rsid w:val="0022507C"/>
    <w:rsid w:val="00226979"/>
    <w:rsid w:val="002406F5"/>
    <w:rsid w:val="00242E76"/>
    <w:rsid w:val="00243464"/>
    <w:rsid w:val="002462A8"/>
    <w:rsid w:val="00247731"/>
    <w:rsid w:val="00253C74"/>
    <w:rsid w:val="0025437D"/>
    <w:rsid w:val="00262BAD"/>
    <w:rsid w:val="0027237D"/>
    <w:rsid w:val="002726B1"/>
    <w:rsid w:val="002727D0"/>
    <w:rsid w:val="002749C8"/>
    <w:rsid w:val="00275325"/>
    <w:rsid w:val="00281C06"/>
    <w:rsid w:val="00285DC4"/>
    <w:rsid w:val="0029294D"/>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4E34"/>
    <w:rsid w:val="00315EFA"/>
    <w:rsid w:val="00316408"/>
    <w:rsid w:val="003179FB"/>
    <w:rsid w:val="00323A51"/>
    <w:rsid w:val="003244C9"/>
    <w:rsid w:val="0032468B"/>
    <w:rsid w:val="00327119"/>
    <w:rsid w:val="003333E4"/>
    <w:rsid w:val="00336580"/>
    <w:rsid w:val="0034184B"/>
    <w:rsid w:val="00342B0E"/>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9624F"/>
    <w:rsid w:val="003A324A"/>
    <w:rsid w:val="003A73EF"/>
    <w:rsid w:val="003B2514"/>
    <w:rsid w:val="003B2C59"/>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0E05"/>
    <w:rsid w:val="0046463F"/>
    <w:rsid w:val="00467CD2"/>
    <w:rsid w:val="004718A9"/>
    <w:rsid w:val="0047473E"/>
    <w:rsid w:val="00476EC1"/>
    <w:rsid w:val="00480582"/>
    <w:rsid w:val="00484751"/>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687"/>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6BF"/>
    <w:rsid w:val="005C470B"/>
    <w:rsid w:val="005C66D3"/>
    <w:rsid w:val="005D1770"/>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40218"/>
    <w:rsid w:val="00651B6C"/>
    <w:rsid w:val="006540CB"/>
    <w:rsid w:val="00660B2A"/>
    <w:rsid w:val="00663D84"/>
    <w:rsid w:val="00682553"/>
    <w:rsid w:val="0068515C"/>
    <w:rsid w:val="0068667C"/>
    <w:rsid w:val="006A26A0"/>
    <w:rsid w:val="006A4FDA"/>
    <w:rsid w:val="006B00AB"/>
    <w:rsid w:val="006B1C07"/>
    <w:rsid w:val="006B3DA5"/>
    <w:rsid w:val="006B5B25"/>
    <w:rsid w:val="006B7827"/>
    <w:rsid w:val="006D0172"/>
    <w:rsid w:val="006E0C5F"/>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20F"/>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2FF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221"/>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270A3"/>
    <w:rsid w:val="00930A10"/>
    <w:rsid w:val="0093199F"/>
    <w:rsid w:val="00932958"/>
    <w:rsid w:val="00947CC7"/>
    <w:rsid w:val="00951519"/>
    <w:rsid w:val="009535AF"/>
    <w:rsid w:val="00953FCB"/>
    <w:rsid w:val="0096301A"/>
    <w:rsid w:val="00964D6C"/>
    <w:rsid w:val="00965133"/>
    <w:rsid w:val="00965E0F"/>
    <w:rsid w:val="00971AD3"/>
    <w:rsid w:val="00974A8F"/>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0D77"/>
    <w:rsid w:val="009E15D4"/>
    <w:rsid w:val="009F25BD"/>
    <w:rsid w:val="009F3C7E"/>
    <w:rsid w:val="009F5646"/>
    <w:rsid w:val="009F7873"/>
    <w:rsid w:val="009F7979"/>
    <w:rsid w:val="009F7AE7"/>
    <w:rsid w:val="00A03FA7"/>
    <w:rsid w:val="00A06395"/>
    <w:rsid w:val="00A06AEF"/>
    <w:rsid w:val="00A10700"/>
    <w:rsid w:val="00A149E2"/>
    <w:rsid w:val="00A14D49"/>
    <w:rsid w:val="00A15184"/>
    <w:rsid w:val="00A1637D"/>
    <w:rsid w:val="00A2566B"/>
    <w:rsid w:val="00A260D3"/>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0276"/>
    <w:rsid w:val="00B15323"/>
    <w:rsid w:val="00B259AC"/>
    <w:rsid w:val="00B268D9"/>
    <w:rsid w:val="00B26EC9"/>
    <w:rsid w:val="00B31B8F"/>
    <w:rsid w:val="00B333B0"/>
    <w:rsid w:val="00B43561"/>
    <w:rsid w:val="00B440DB"/>
    <w:rsid w:val="00B4415D"/>
    <w:rsid w:val="00B45103"/>
    <w:rsid w:val="00B45D24"/>
    <w:rsid w:val="00B52992"/>
    <w:rsid w:val="00B538C6"/>
    <w:rsid w:val="00B54E70"/>
    <w:rsid w:val="00B56B40"/>
    <w:rsid w:val="00B62018"/>
    <w:rsid w:val="00B63114"/>
    <w:rsid w:val="00B64A22"/>
    <w:rsid w:val="00B67D14"/>
    <w:rsid w:val="00B700C3"/>
    <w:rsid w:val="00B8018D"/>
    <w:rsid w:val="00B8042D"/>
    <w:rsid w:val="00B810FF"/>
    <w:rsid w:val="00B8418B"/>
    <w:rsid w:val="00B84519"/>
    <w:rsid w:val="00B87463"/>
    <w:rsid w:val="00B91E5C"/>
    <w:rsid w:val="00BA00E2"/>
    <w:rsid w:val="00BA0546"/>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265D8"/>
    <w:rsid w:val="00C31FE6"/>
    <w:rsid w:val="00C35546"/>
    <w:rsid w:val="00C35F94"/>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2E33"/>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6798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0B81"/>
    <w:rsid w:val="00DF59BD"/>
    <w:rsid w:val="00DF6FC3"/>
    <w:rsid w:val="00DF751A"/>
    <w:rsid w:val="00DF7A31"/>
    <w:rsid w:val="00E01827"/>
    <w:rsid w:val="00E05A1C"/>
    <w:rsid w:val="00E07333"/>
    <w:rsid w:val="00E1201C"/>
    <w:rsid w:val="00E129EE"/>
    <w:rsid w:val="00E12BAD"/>
    <w:rsid w:val="00E13411"/>
    <w:rsid w:val="00E14AC6"/>
    <w:rsid w:val="00E24FD4"/>
    <w:rsid w:val="00E30F62"/>
    <w:rsid w:val="00E36ECE"/>
    <w:rsid w:val="00E46B69"/>
    <w:rsid w:val="00E573AC"/>
    <w:rsid w:val="00E57B94"/>
    <w:rsid w:val="00E62839"/>
    <w:rsid w:val="00E62E85"/>
    <w:rsid w:val="00E64EE1"/>
    <w:rsid w:val="00E65C1E"/>
    <w:rsid w:val="00E70ECE"/>
    <w:rsid w:val="00E75F13"/>
    <w:rsid w:val="00E76022"/>
    <w:rsid w:val="00E83456"/>
    <w:rsid w:val="00E854E1"/>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4B57"/>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764"/>
    <w:rsid w:val="00FD7D5F"/>
    <w:rsid w:val="00FE1A2F"/>
    <w:rsid w:val="00FE5F50"/>
    <w:rsid w:val="00FF1B25"/>
    <w:rsid w:val="00FF7A85"/>
    <w:rsid w:val="018B30C2"/>
    <w:rsid w:val="03F0214E"/>
    <w:rsid w:val="04314F30"/>
    <w:rsid w:val="046F214C"/>
    <w:rsid w:val="06325B44"/>
    <w:rsid w:val="0A5A5DC4"/>
    <w:rsid w:val="0AB77A2F"/>
    <w:rsid w:val="0BFD28E4"/>
    <w:rsid w:val="0D0E0F2A"/>
    <w:rsid w:val="0F635DF8"/>
    <w:rsid w:val="10881DF6"/>
    <w:rsid w:val="111D3473"/>
    <w:rsid w:val="13B61995"/>
    <w:rsid w:val="14172307"/>
    <w:rsid w:val="141E7899"/>
    <w:rsid w:val="151C1C9A"/>
    <w:rsid w:val="153C0007"/>
    <w:rsid w:val="16120B81"/>
    <w:rsid w:val="165D6CAE"/>
    <w:rsid w:val="17E531F7"/>
    <w:rsid w:val="19F55BCD"/>
    <w:rsid w:val="1A0B3DDD"/>
    <w:rsid w:val="1A1B6230"/>
    <w:rsid w:val="1A751B4A"/>
    <w:rsid w:val="1B7457C9"/>
    <w:rsid w:val="1BD73E6F"/>
    <w:rsid w:val="1F8F6F61"/>
    <w:rsid w:val="203F2354"/>
    <w:rsid w:val="217C52A6"/>
    <w:rsid w:val="21901FC4"/>
    <w:rsid w:val="24192B24"/>
    <w:rsid w:val="249262B8"/>
    <w:rsid w:val="25640AAC"/>
    <w:rsid w:val="27C44B4F"/>
    <w:rsid w:val="29684A53"/>
    <w:rsid w:val="2A2D00A9"/>
    <w:rsid w:val="2D7258C6"/>
    <w:rsid w:val="2E343CBB"/>
    <w:rsid w:val="2E574E83"/>
    <w:rsid w:val="2E7A1926"/>
    <w:rsid w:val="3227360A"/>
    <w:rsid w:val="357910E0"/>
    <w:rsid w:val="38226957"/>
    <w:rsid w:val="38B94E67"/>
    <w:rsid w:val="392D1E6E"/>
    <w:rsid w:val="39466C4F"/>
    <w:rsid w:val="396A13EA"/>
    <w:rsid w:val="39DD2E67"/>
    <w:rsid w:val="3A8A588E"/>
    <w:rsid w:val="3B026B0F"/>
    <w:rsid w:val="3C1464F1"/>
    <w:rsid w:val="3DCC2998"/>
    <w:rsid w:val="3F5538EE"/>
    <w:rsid w:val="3FD44B82"/>
    <w:rsid w:val="41134E62"/>
    <w:rsid w:val="45F568DE"/>
    <w:rsid w:val="488A54A4"/>
    <w:rsid w:val="4A8A424F"/>
    <w:rsid w:val="508B3BDB"/>
    <w:rsid w:val="51486F2A"/>
    <w:rsid w:val="52F4603B"/>
    <w:rsid w:val="56F77E4E"/>
    <w:rsid w:val="5A5F2402"/>
    <w:rsid w:val="5B6F544B"/>
    <w:rsid w:val="5CC2526F"/>
    <w:rsid w:val="5E8D610B"/>
    <w:rsid w:val="611236F1"/>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954482"/>
    <w:rsid w:val="785B03CB"/>
    <w:rsid w:val="7D4F20E1"/>
    <w:rsid w:val="7D99752A"/>
    <w:rsid w:val="7F024C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修订1"/>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zhlx</Company>
  <Pages>5</Pages>
  <Words>844</Words>
  <Characters>76</Characters>
  <Lines>1</Lines>
  <Paragraphs>1</Paragraphs>
  <TotalTime>0</TotalTime>
  <ScaleCrop>false</ScaleCrop>
  <LinksUpToDate>false</LinksUpToDate>
  <CharactersWithSpaces>919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2021-02-10T06:06:00Z</dcterms:created>
  <dc:creator>lx</dc:creator>
  <cp:lastModifiedBy>Administrator</cp:lastModifiedBy>
  <cp:lastPrinted>2020-02-03T08:13:00Z</cp:lastPrinted>
  <dcterms:modified xsi:type="dcterms:W3CDTF">2022-02-09T08:59:12Z</dcterms:modified>
  <dc:title>年部门预算编制说明</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923D4F08A701454C9E96E96E7CCE84C5</vt:lpwstr>
  </property>
</Properties>
</file>