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000000" w:themeColor="text1"/>
          <w:sz w:val="52"/>
          <w:szCs w:val="52"/>
        </w:rPr>
      </w:pPr>
      <w:bookmarkStart w:id="0" w:name="_GoBack"/>
      <w:bookmarkEnd w:id="0"/>
      <w:r>
        <w:rPr>
          <w:rFonts w:hint="default" w:ascii="Times New Roman" w:hAnsi="Times New Roman" w:eastAsia="方正小标宋简体" w:cs="Times New Roman"/>
          <w:bCs/>
          <w:color w:val="000000" w:themeColor="text1"/>
          <w:sz w:val="52"/>
          <w:szCs w:val="52"/>
        </w:rPr>
        <w:t>呈贡区2022年度第十五批次城市建设用地</w:t>
      </w:r>
    </w:p>
    <w:p>
      <w:pPr>
        <w:jc w:val="center"/>
        <w:rPr>
          <w:rFonts w:hint="default" w:ascii="Times New Roman" w:hAnsi="Times New Roman" w:eastAsia="方正小标宋简体" w:cs="Times New Roman"/>
          <w:bCs/>
          <w:color w:val="000000" w:themeColor="text1"/>
          <w:sz w:val="52"/>
          <w:szCs w:val="52"/>
        </w:rPr>
      </w:pPr>
      <w:r>
        <w:rPr>
          <w:rFonts w:hint="default" w:ascii="Times New Roman" w:hAnsi="Times New Roman" w:eastAsia="方正小标宋简体" w:cs="Times New Roman"/>
          <w:bCs/>
          <w:color w:val="000000" w:themeColor="text1"/>
          <w:sz w:val="52"/>
          <w:szCs w:val="52"/>
        </w:rPr>
        <w:t>征地补偿安置方案</w:t>
      </w:r>
    </w:p>
    <w:p>
      <w:pPr>
        <w:jc w:val="center"/>
        <w:rPr>
          <w:rFonts w:hint="default" w:ascii="Times New Roman" w:hAnsi="Times New Roman" w:eastAsia="仿宋_GB2312" w:cs="Times New Roman"/>
          <w:b/>
          <w:color w:val="000000" w:themeColor="text1"/>
          <w:sz w:val="44"/>
          <w:szCs w:val="44"/>
        </w:rPr>
      </w:pP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昆明市呈贡区人民政府依据《呈贡区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拟征收土地社会稳定风险评估》结果，结合土地现状调查情况，组织自然资源部门、规划部门、财政部门、人力资源和社会保障局、农业农村局、城乡建设局和交通运输局、龙城、乌龙街道办事处等相关部门制定了本方案,具体内容如下：</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一、征收范围</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本项目用地涉及乌龙街道办事处下可乐社区居民委员会、龙城街道办事处龙街社区居民委员会。</w:t>
      </w:r>
    </w:p>
    <w:p>
      <w:pPr>
        <w:pStyle w:val="10"/>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rPr>
        <w:t>具体用地位置及范围详见《呈贡区</w:t>
      </w:r>
      <w:r>
        <w:rPr>
          <w:rFonts w:hint="default" w:ascii="Times New Roman" w:hAnsi="Times New Roman" w:eastAsia="仿宋_GB2312" w:cs="Times New Roman"/>
          <w:color w:val="auto"/>
          <w:kern w:val="2"/>
          <w:sz w:val="36"/>
          <w:szCs w:val="36"/>
        </w:rPr>
        <w:t>2022年度第十五批次城市建设用地</w:t>
      </w:r>
      <w:r>
        <w:rPr>
          <w:rFonts w:hint="default" w:ascii="Times New Roman" w:hAnsi="Times New Roman" w:eastAsia="仿宋_GB2312" w:cs="Times New Roman"/>
          <w:color w:val="auto"/>
          <w:kern w:val="2"/>
          <w:sz w:val="36"/>
          <w:szCs w:val="36"/>
        </w:rPr>
        <w:t>拟征收土地位置及范围示意图》。</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二、土地现状</w:t>
      </w:r>
    </w:p>
    <w:p>
      <w:pPr>
        <w:keepNext w:val="0"/>
        <w:keepLines w:val="0"/>
        <w:pageBreakBefore w:val="0"/>
        <w:widowControl w:val="0"/>
        <w:kinsoku/>
        <w:wordWrap/>
        <w:overflowPunct/>
        <w:topLinePunct w:val="0"/>
        <w:bidi w:val="0"/>
        <w:snapToGrid/>
        <w:spacing w:before="9" w:line="560" w:lineRule="exact"/>
        <w:ind w:left="120" w:right="20" w:firstLine="540" w:firstLineChars="150"/>
        <w:jc w:val="both"/>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color w:val="000000" w:themeColor="text1"/>
          <w:sz w:val="36"/>
          <w:szCs w:val="36"/>
        </w:rPr>
        <w:t>项目拟征收</w:t>
      </w:r>
      <w:r>
        <w:rPr>
          <w:rFonts w:hint="default" w:ascii="Times New Roman" w:hAnsi="Times New Roman" w:eastAsia="仿宋_GB2312" w:cs="Times New Roman"/>
          <w:sz w:val="36"/>
          <w:szCs w:val="36"/>
        </w:rPr>
        <w:t>乌龙街道办事处下可乐社区居民委员会、龙城街道办事处龙街社区居民委员会</w:t>
      </w:r>
      <w:r>
        <w:rPr>
          <w:rFonts w:hint="default" w:ascii="Times New Roman" w:hAnsi="Times New Roman" w:eastAsia="仿宋_GB2312" w:cs="Times New Roman"/>
          <w:color w:val="000000" w:themeColor="text1"/>
          <w:sz w:val="36"/>
          <w:szCs w:val="36"/>
        </w:rPr>
        <w:t>集体土地总面积0.</w:t>
      </w:r>
      <w:r>
        <w:rPr>
          <w:rFonts w:hint="default" w:ascii="Times New Roman" w:hAnsi="Times New Roman" w:eastAsia="仿宋_GB2312" w:cs="Times New Roman"/>
          <w:color w:val="000000" w:themeColor="text1"/>
          <w:sz w:val="36"/>
          <w:szCs w:val="36"/>
        </w:rPr>
        <w:t>2045</w:t>
      </w:r>
      <w:r>
        <w:rPr>
          <w:rFonts w:hint="default" w:ascii="Times New Roman" w:hAnsi="Times New Roman" w:eastAsia="仿宋_GB2312" w:cs="Times New Roman"/>
          <w:sz w:val="36"/>
          <w:szCs w:val="36"/>
        </w:rPr>
        <w:t>公顷（</w:t>
      </w:r>
      <w:r>
        <w:rPr>
          <w:rFonts w:hint="default" w:ascii="Times New Roman" w:hAnsi="Times New Roman" w:eastAsia="仿宋_GB2312" w:cs="Times New Roman"/>
          <w:sz w:val="36"/>
          <w:szCs w:val="36"/>
        </w:rPr>
        <w:t>3.0675</w:t>
      </w:r>
      <w:r>
        <w:rPr>
          <w:rFonts w:hint="default" w:ascii="Times New Roman" w:hAnsi="Times New Roman" w:eastAsia="仿宋_GB2312" w:cs="Times New Roman"/>
          <w:color w:val="000000" w:themeColor="text1"/>
          <w:sz w:val="36"/>
          <w:szCs w:val="36"/>
        </w:rPr>
        <w:t>亩）,具体地类和面积详见《呈贡区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拟用地土地利用现状情况调查表》、《呈贡区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sz w:val="36"/>
          <w:szCs w:val="36"/>
        </w:rPr>
        <w:t>拟征收土地权属情况汇总表》。</w:t>
      </w:r>
    </w:p>
    <w:p>
      <w:pPr>
        <w:keepNext w:val="0"/>
        <w:keepLines w:val="0"/>
        <w:pageBreakBefore w:val="0"/>
        <w:widowControl w:val="0"/>
        <w:kinsoku/>
        <w:wordWrap/>
        <w:overflowPunct/>
        <w:topLinePunct w:val="0"/>
        <w:bidi w:val="0"/>
        <w:snapToGrid/>
        <w:spacing w:before="4" w:line="560" w:lineRule="exact"/>
        <w:ind w:left="121" w:right="19" w:firstLine="641"/>
        <w:jc w:val="both"/>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color w:val="000000" w:themeColor="text1"/>
          <w:sz w:val="36"/>
          <w:szCs w:val="36"/>
        </w:rPr>
        <w:t>项目拟征收土地涉及农村村民住宅、地上附着物和青苗等和权属、种类、数量等信息基本情况正在组织开展调查，最终以实际调查结果为准。</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三、征收目的</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本次拟征收土地用于呈贡区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，符合《中华人民共和国土地管理法》第四十五条规定，为公共利益的需要可以征收土地情形。</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四、征地补偿标准</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color w:val="000000" w:themeColor="text1"/>
          <w:sz w:val="36"/>
          <w:szCs w:val="36"/>
        </w:rPr>
        <w:t>按照新修改的《中华人民共和国土地管理法》规定，区片综合地价是征收农用地的土地补偿费和安置补助费的标准，本项目征地补偿标准按《云南省自然资源厅关于公布实施全省征收农用地区片综合地价的通知》（</w:t>
      </w:r>
      <w:r>
        <w:rPr>
          <w:rFonts w:hint="default" w:ascii="Times New Roman" w:hAnsi="Times New Roman" w:eastAsia="仿宋_GB2312" w:cs="Times New Roman"/>
          <w:sz w:val="36"/>
          <w:szCs w:val="36"/>
          <w:lang w:eastAsia="zh-CN"/>
        </w:rPr>
        <w:t>云自然资〔2020〕173号</w:t>
      </w:r>
      <w:r>
        <w:rPr>
          <w:rFonts w:hint="default" w:ascii="Times New Roman" w:hAnsi="Times New Roman" w:eastAsia="仿宋_GB2312" w:cs="Times New Roman"/>
          <w:color w:val="000000" w:themeColor="text1"/>
          <w:sz w:val="36"/>
          <w:szCs w:val="36"/>
        </w:rPr>
        <w:t>）</w:t>
      </w:r>
      <w:r>
        <w:rPr>
          <w:rFonts w:hint="default" w:ascii="Times New Roman" w:hAnsi="Times New Roman" w:eastAsia="仿宋_GB2312" w:cs="Times New Roman"/>
          <w:color w:val="000000" w:themeColor="text1"/>
          <w:sz w:val="36"/>
          <w:szCs w:val="36"/>
        </w:rPr>
        <w:t>执行。</w:t>
      </w:r>
      <w:r>
        <w:rPr>
          <w:rFonts w:hint="default" w:ascii="Times New Roman" w:hAnsi="Times New Roman" w:eastAsia="仿宋_GB2312" w:cs="Times New Roman"/>
          <w:color w:val="000000" w:themeColor="text1"/>
          <w:sz w:val="36"/>
          <w:szCs w:val="36"/>
        </w:rPr>
        <w:t>执行标准，不分地类，按所属区域类别补偿，具体为：</w:t>
      </w:r>
      <w:r>
        <w:rPr>
          <w:rFonts w:hint="default" w:ascii="Times New Roman" w:hAnsi="Times New Roman" w:eastAsia="仿宋_GB2312" w:cs="Times New Roman"/>
          <w:sz w:val="36"/>
          <w:szCs w:val="36"/>
        </w:rPr>
        <w:t>项目用地涉及乌龙、龙城</w:t>
      </w:r>
      <w:r>
        <w:rPr>
          <w:rFonts w:hint="default" w:ascii="Times New Roman" w:hAnsi="Times New Roman" w:eastAsia="仿宋_GB2312" w:cs="Times New Roman"/>
          <w:sz w:val="36"/>
          <w:szCs w:val="36"/>
        </w:rPr>
        <w:t>2</w:t>
      </w:r>
      <w:r>
        <w:rPr>
          <w:rFonts w:hint="default" w:ascii="Times New Roman" w:hAnsi="Times New Roman" w:eastAsia="仿宋_GB2312" w:cs="Times New Roman"/>
          <w:sz w:val="36"/>
          <w:szCs w:val="36"/>
        </w:rPr>
        <w:t>个街道办事处集体土地属</w:t>
      </w:r>
      <w:r>
        <w:rPr>
          <w:rFonts w:hint="default" w:ascii="Times New Roman" w:hAnsi="Times New Roman" w:eastAsia="宋体" w:cs="Times New Roman"/>
          <w:sz w:val="36"/>
          <w:szCs w:val="36"/>
        </w:rPr>
        <w:t>Ⅰ</w:t>
      </w:r>
      <w:r>
        <w:rPr>
          <w:rFonts w:hint="default" w:ascii="Times New Roman" w:hAnsi="Times New Roman" w:eastAsia="仿宋_GB2312" w:cs="Times New Roman"/>
          <w:sz w:val="36"/>
          <w:szCs w:val="36"/>
        </w:rPr>
        <w:t>类区：补偿标准为328.35万元/公顷（21.89万元/亩）。</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五、农村村民住宅、地上附着物及青苗补偿费</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项目用地未涉及农村村民住宅。青苗及地上附着物补偿标准按照昆明市呈贡区人民政府《关于公布实施呈贡区征地青苗及地上附着物补偿标准的通知》（呈政发〔2016〕2号）补偿标准执行，本项目属Ⅰ类区片标准为4万元/亩。</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六、安置方式</w:t>
      </w:r>
    </w:p>
    <w:p>
      <w:pPr>
        <w:pStyle w:val="10"/>
        <w:keepNext w:val="0"/>
        <w:keepLines w:val="0"/>
        <w:pageBreakBefore w:val="0"/>
        <w:widowControl w:val="0"/>
        <w:kinsoku/>
        <w:wordWrap/>
        <w:overflowPunct/>
        <w:topLinePunct w:val="0"/>
        <w:bidi w:val="0"/>
        <w:snapToGrid/>
        <w:spacing w:line="560" w:lineRule="exact"/>
        <w:ind w:firstLine="64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000000" w:themeColor="text1"/>
          <w:sz w:val="36"/>
          <w:szCs w:val="36"/>
        </w:rPr>
        <w:t>安置以货币补偿安置为主，从实际出发，坚持保障水平与经济社会发展水平相适应，权利与义务相对应、公平和效率相结合的原则；坚持政府主导和被征地农民自愿相结合，提高被征地农民自我保障意识，将符合条件的被征地农民纳入国家养老保险制度框架体系；坚持个人缴费，集体补助，政府补贴相结合的资金筹集资质，被征地农民按规定缴费后，享受相应的基本养老生活费待遇；引导被征地农民自主创业和外出务工等途径，保障被征地农民原有生活水平不降低。</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七、社会保障</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本项目已按要求落实被征地农民社会保障资金，专项用于被征地农民的基本养老保障。并按有关规定要求将符合条件的被征地农民纳入社会保障体系，保证被征地农民原有生活水平不降低，长远生计有保障。</w:t>
      </w: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kinsoku/>
        <w:wordWrap/>
        <w:overflowPunct/>
        <w:topLinePunct w:val="0"/>
        <w:bidi w:val="0"/>
        <w:snapToGrid/>
        <w:spacing w:line="560" w:lineRule="exact"/>
        <w:ind w:firstLine="720" w:firstLineChars="2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附：1、《呈贡区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拟征收土地位置及范围示意图》</w:t>
      </w:r>
    </w:p>
    <w:p>
      <w:pPr>
        <w:keepNext w:val="0"/>
        <w:keepLines w:val="0"/>
        <w:pageBreakBefore w:val="0"/>
        <w:widowControl w:val="0"/>
        <w:numPr>
          <w:ilvl w:val="0"/>
          <w:numId w:val="1"/>
        </w:numPr>
        <w:kinsoku/>
        <w:wordWrap/>
        <w:overflowPunct/>
        <w:topLinePunct w:val="0"/>
        <w:bidi w:val="0"/>
        <w:snapToGrid/>
        <w:spacing w:line="560" w:lineRule="exact"/>
        <w:ind w:right="600" w:rightChars="0" w:firstLine="1440" w:firstLineChars="4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拟用地土地利用现状情况调查表》、《呈贡区</w:t>
      </w:r>
      <w:r>
        <w:rPr>
          <w:rFonts w:hint="default" w:ascii="Times New Roman" w:hAnsi="Times New Roman" w:eastAsia="仿宋_GB2312" w:cs="Times New Roman"/>
          <w:color w:val="000000" w:themeColor="text1"/>
          <w:sz w:val="36"/>
          <w:szCs w:val="36"/>
        </w:rPr>
        <w:t>2022年度第十五批次城市建设用地</w:t>
      </w:r>
      <w:r>
        <w:rPr>
          <w:rFonts w:hint="default" w:ascii="Times New Roman" w:hAnsi="Times New Roman" w:eastAsia="仿宋_GB2312" w:cs="Times New Roman"/>
          <w:color w:val="000000" w:themeColor="text1"/>
          <w:sz w:val="36"/>
          <w:szCs w:val="36"/>
        </w:rPr>
        <w:t>拟征收土地权属情况汇总表》</w:t>
      </w:r>
    </w:p>
    <w:p>
      <w:pPr>
        <w:keepNext w:val="0"/>
        <w:keepLines w:val="0"/>
        <w:pageBreakBefore w:val="0"/>
        <w:widowControl w:val="0"/>
        <w:numPr>
          <w:ilvl w:val="0"/>
          <w:numId w:val="0"/>
        </w:numPr>
        <w:kinsoku/>
        <w:wordWrap/>
        <w:overflowPunct/>
        <w:topLinePunct w:val="0"/>
        <w:bidi w:val="0"/>
        <w:snapToGrid/>
        <w:spacing w:line="560" w:lineRule="exact"/>
        <w:ind w:right="600" w:rightChars="0" w:firstLine="9720" w:firstLineChars="2700"/>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numPr>
          <w:ilvl w:val="0"/>
          <w:numId w:val="0"/>
        </w:numPr>
        <w:kinsoku/>
        <w:wordWrap/>
        <w:overflowPunct/>
        <w:topLinePunct w:val="0"/>
        <w:bidi w:val="0"/>
        <w:snapToGrid/>
        <w:spacing w:line="560" w:lineRule="exact"/>
        <w:ind w:right="600" w:rightChars="0" w:firstLine="9720" w:firstLineChars="2700"/>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numPr>
          <w:ilvl w:val="0"/>
          <w:numId w:val="0"/>
        </w:numPr>
        <w:kinsoku/>
        <w:wordWrap/>
        <w:overflowPunct/>
        <w:topLinePunct w:val="0"/>
        <w:bidi w:val="0"/>
        <w:snapToGrid/>
        <w:spacing w:line="560" w:lineRule="exact"/>
        <w:ind w:right="600" w:rightChars="0" w:firstLine="10440" w:firstLineChars="2900"/>
        <w:jc w:val="both"/>
        <w:textAlignment w:val="auto"/>
        <w:rPr>
          <w:rFonts w:hint="default" w:ascii="Times New Roman" w:hAnsi="Times New Roman" w:eastAsia="仿宋_GB2312" w:cs="Times New Roman"/>
          <w:color w:val="000000" w:themeColor="text1"/>
          <w:sz w:val="36"/>
          <w:szCs w:val="36"/>
        </w:rPr>
      </w:pPr>
      <w:r>
        <w:rPr>
          <w:sz w:val="36"/>
        </w:rPr>
        <w:pict>
          <v:shape id="_x0000_s1026" o:spid="_x0000_s1026" o:spt="201" type="#_x0000_t201" style="position:absolute;left:0pt;margin-left:507.6pt;margin-top:1.75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keepNext w:val="0"/>
        <w:keepLines w:val="0"/>
        <w:pageBreakBefore w:val="0"/>
        <w:widowControl w:val="0"/>
        <w:numPr>
          <w:ilvl w:val="0"/>
          <w:numId w:val="0"/>
        </w:numPr>
        <w:kinsoku/>
        <w:wordWrap/>
        <w:overflowPunct/>
        <w:topLinePunct w:val="0"/>
        <w:bidi w:val="0"/>
        <w:snapToGrid/>
        <w:spacing w:line="560" w:lineRule="exact"/>
        <w:ind w:right="600" w:rightChars="0" w:firstLine="10440" w:firstLineChars="2900"/>
        <w:jc w:val="both"/>
        <w:textAlignment w:val="auto"/>
        <w:rPr>
          <w:rFonts w:hint="default" w:ascii="Times New Roman" w:hAnsi="Times New Roman" w:eastAsia="仿宋_GB2312" w:cs="Times New Roman"/>
          <w:color w:val="000000" w:themeColor="text1"/>
          <w:sz w:val="36"/>
          <w:szCs w:val="36"/>
        </w:rPr>
      </w:pPr>
    </w:p>
    <w:p>
      <w:pPr>
        <w:keepNext w:val="0"/>
        <w:keepLines w:val="0"/>
        <w:pageBreakBefore w:val="0"/>
        <w:widowControl w:val="0"/>
        <w:numPr>
          <w:ilvl w:val="0"/>
          <w:numId w:val="0"/>
        </w:numPr>
        <w:kinsoku/>
        <w:wordWrap/>
        <w:overflowPunct/>
        <w:topLinePunct w:val="0"/>
        <w:bidi w:val="0"/>
        <w:snapToGrid/>
        <w:spacing w:line="560" w:lineRule="exact"/>
        <w:ind w:right="600" w:rightChars="0" w:firstLine="9720" w:firstLineChars="27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昆明市呈贡区人民政府</w:t>
      </w:r>
    </w:p>
    <w:p>
      <w:pPr>
        <w:keepNext w:val="0"/>
        <w:keepLines w:val="0"/>
        <w:pageBreakBefore w:val="0"/>
        <w:widowControl w:val="0"/>
        <w:kinsoku/>
        <w:wordWrap/>
        <w:overflowPunct/>
        <w:topLinePunct w:val="0"/>
        <w:bidi w:val="0"/>
        <w:snapToGrid/>
        <w:spacing w:line="560" w:lineRule="exact"/>
        <w:ind w:right="1200" w:firstLine="10080" w:firstLineChars="2800"/>
        <w:jc w:val="both"/>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6"/>
          <w:szCs w:val="36"/>
        </w:rPr>
        <w:t>202</w:t>
      </w:r>
      <w:r>
        <w:rPr>
          <w:rFonts w:hint="default" w:ascii="Times New Roman" w:hAnsi="Times New Roman" w:eastAsia="仿宋_GB2312" w:cs="Times New Roman"/>
          <w:color w:val="000000" w:themeColor="text1"/>
          <w:sz w:val="36"/>
          <w:szCs w:val="36"/>
        </w:rPr>
        <w:t>2</w:t>
      </w:r>
      <w:r>
        <w:rPr>
          <w:rFonts w:hint="default" w:ascii="Times New Roman" w:hAnsi="Times New Roman" w:eastAsia="仿宋_GB2312" w:cs="Times New Roman"/>
          <w:color w:val="000000" w:themeColor="text1"/>
          <w:sz w:val="36"/>
          <w:szCs w:val="36"/>
        </w:rPr>
        <w:t>年</w:t>
      </w:r>
      <w:r>
        <w:rPr>
          <w:rFonts w:hint="default" w:ascii="Times New Roman" w:hAnsi="Times New Roman" w:eastAsia="仿宋_GB2312" w:cs="Times New Roman"/>
          <w:color w:val="000000" w:themeColor="text1"/>
          <w:sz w:val="36"/>
          <w:szCs w:val="36"/>
        </w:rPr>
        <w:t>4</w:t>
      </w:r>
      <w:r>
        <w:rPr>
          <w:rFonts w:hint="default" w:ascii="Times New Roman" w:hAnsi="Times New Roman" w:eastAsia="仿宋_GB2312" w:cs="Times New Roman"/>
          <w:color w:val="000000" w:themeColor="text1"/>
          <w:sz w:val="36"/>
          <w:szCs w:val="36"/>
        </w:rPr>
        <w:t>月</w:t>
      </w:r>
      <w:r>
        <w:rPr>
          <w:rFonts w:hint="default" w:ascii="Times New Roman" w:hAnsi="Times New Roman" w:eastAsia="仿宋_GB2312" w:cs="Times New Roman"/>
          <w:color w:val="000000" w:themeColor="text1"/>
          <w:sz w:val="36"/>
          <w:szCs w:val="36"/>
          <w:lang w:val="en-US" w:eastAsia="zh-CN"/>
        </w:rPr>
        <w:t>19</w:t>
      </w:r>
      <w:r>
        <w:rPr>
          <w:rFonts w:hint="default" w:ascii="Times New Roman" w:hAnsi="Times New Roman" w:eastAsia="仿宋_GB2312" w:cs="Times New Roman"/>
          <w:color w:val="000000" w:themeColor="text1"/>
          <w:sz w:val="36"/>
          <w:szCs w:val="36"/>
        </w:rPr>
        <w:t>日</w:t>
      </w:r>
    </w:p>
    <w:p>
      <w:pPr>
        <w:keepNext w:val="0"/>
        <w:keepLines w:val="0"/>
        <w:pageBreakBefore w:val="0"/>
        <w:widowControl w:val="0"/>
        <w:kinsoku/>
        <w:wordWrap/>
        <w:overflowPunct/>
        <w:topLinePunct w:val="0"/>
        <w:bidi w:val="0"/>
        <w:snapToGrid/>
        <w:spacing w:line="560" w:lineRule="exact"/>
        <w:ind w:firstLine="1440" w:firstLineChars="400"/>
        <w:jc w:val="left"/>
        <w:textAlignment w:val="auto"/>
        <w:rPr>
          <w:rFonts w:hint="default" w:ascii="Times New Roman" w:hAnsi="Times New Roman" w:eastAsia="仿宋_GB2312" w:cs="Times New Roman"/>
          <w:color w:val="000000" w:themeColor="text1"/>
          <w:sz w:val="36"/>
          <w:szCs w:val="36"/>
        </w:rPr>
      </w:pPr>
    </w:p>
    <w:sectPr>
      <w:pgSz w:w="16839" w:h="23814"/>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t">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72F55C"/>
    <w:multiLevelType w:val="singleLevel"/>
    <w:tmpl w:val="EC72F55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dit="forms" w:enforcement="1" w:cryptProviderType="rsaFull" w:cryptAlgorithmClass="hash" w:cryptAlgorithmType="typeAny" w:cryptAlgorithmSid="4" w:cryptSpinCount="0" w:hash="aQ7eGhMQwfRR1ZDAmdtsDtr6EhY=" w:salt="CBYDMW6fw10pj/CF7QKyE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8153A"/>
    <w:rsid w:val="00003080"/>
    <w:rsid w:val="000200D7"/>
    <w:rsid w:val="00033599"/>
    <w:rsid w:val="00036F7A"/>
    <w:rsid w:val="000476BC"/>
    <w:rsid w:val="00047B05"/>
    <w:rsid w:val="00063914"/>
    <w:rsid w:val="000663E9"/>
    <w:rsid w:val="00080580"/>
    <w:rsid w:val="00097F1B"/>
    <w:rsid w:val="000A48F7"/>
    <w:rsid w:val="000B17F6"/>
    <w:rsid w:val="000B1A26"/>
    <w:rsid w:val="000C18FD"/>
    <w:rsid w:val="000C244E"/>
    <w:rsid w:val="000E3621"/>
    <w:rsid w:val="000E5D05"/>
    <w:rsid w:val="000E74B6"/>
    <w:rsid w:val="000F5BAF"/>
    <w:rsid w:val="0011611F"/>
    <w:rsid w:val="00122A43"/>
    <w:rsid w:val="00126FC4"/>
    <w:rsid w:val="0013100D"/>
    <w:rsid w:val="00141450"/>
    <w:rsid w:val="00153B0D"/>
    <w:rsid w:val="001624AB"/>
    <w:rsid w:val="00175D4C"/>
    <w:rsid w:val="00194382"/>
    <w:rsid w:val="001A4B11"/>
    <w:rsid w:val="001A610A"/>
    <w:rsid w:val="001A7615"/>
    <w:rsid w:val="001B0BAC"/>
    <w:rsid w:val="001C0E39"/>
    <w:rsid w:val="001C233B"/>
    <w:rsid w:val="001C5D26"/>
    <w:rsid w:val="001D6BAC"/>
    <w:rsid w:val="001E4B18"/>
    <w:rsid w:val="0020215E"/>
    <w:rsid w:val="0020392F"/>
    <w:rsid w:val="00213160"/>
    <w:rsid w:val="00221AD4"/>
    <w:rsid w:val="0022544B"/>
    <w:rsid w:val="00230B0F"/>
    <w:rsid w:val="00235D3C"/>
    <w:rsid w:val="00246430"/>
    <w:rsid w:val="002506E7"/>
    <w:rsid w:val="00254BED"/>
    <w:rsid w:val="00272738"/>
    <w:rsid w:val="00275C1E"/>
    <w:rsid w:val="00293AD7"/>
    <w:rsid w:val="00293CD1"/>
    <w:rsid w:val="002A17DC"/>
    <w:rsid w:val="002A321E"/>
    <w:rsid w:val="002A4172"/>
    <w:rsid w:val="002C029F"/>
    <w:rsid w:val="002C1B39"/>
    <w:rsid w:val="002C2D21"/>
    <w:rsid w:val="002C6FC0"/>
    <w:rsid w:val="002D0E7D"/>
    <w:rsid w:val="002D3C8F"/>
    <w:rsid w:val="002E365B"/>
    <w:rsid w:val="002F7D36"/>
    <w:rsid w:val="00320542"/>
    <w:rsid w:val="003228DD"/>
    <w:rsid w:val="003246C6"/>
    <w:rsid w:val="003248FD"/>
    <w:rsid w:val="00346CB9"/>
    <w:rsid w:val="00351AE3"/>
    <w:rsid w:val="003627C0"/>
    <w:rsid w:val="00393A4B"/>
    <w:rsid w:val="00397E4F"/>
    <w:rsid w:val="003A07A2"/>
    <w:rsid w:val="003A6C5F"/>
    <w:rsid w:val="003B00C1"/>
    <w:rsid w:val="003B528C"/>
    <w:rsid w:val="003B71A8"/>
    <w:rsid w:val="003C779C"/>
    <w:rsid w:val="003D2895"/>
    <w:rsid w:val="003D4B81"/>
    <w:rsid w:val="003D6567"/>
    <w:rsid w:val="003E0EAA"/>
    <w:rsid w:val="003E7962"/>
    <w:rsid w:val="003F1754"/>
    <w:rsid w:val="0040348A"/>
    <w:rsid w:val="00415FD5"/>
    <w:rsid w:val="00426583"/>
    <w:rsid w:val="0042770A"/>
    <w:rsid w:val="00440628"/>
    <w:rsid w:val="0044275E"/>
    <w:rsid w:val="00443216"/>
    <w:rsid w:val="00450D35"/>
    <w:rsid w:val="00461DD6"/>
    <w:rsid w:val="004651AC"/>
    <w:rsid w:val="00476D07"/>
    <w:rsid w:val="00491ADB"/>
    <w:rsid w:val="004A2275"/>
    <w:rsid w:val="004B642E"/>
    <w:rsid w:val="004C72A3"/>
    <w:rsid w:val="004D5F39"/>
    <w:rsid w:val="004E564D"/>
    <w:rsid w:val="004F29D2"/>
    <w:rsid w:val="004F391F"/>
    <w:rsid w:val="0050611C"/>
    <w:rsid w:val="005152E1"/>
    <w:rsid w:val="00521470"/>
    <w:rsid w:val="005357C5"/>
    <w:rsid w:val="00536F47"/>
    <w:rsid w:val="005421FA"/>
    <w:rsid w:val="00543082"/>
    <w:rsid w:val="00574479"/>
    <w:rsid w:val="00581FC7"/>
    <w:rsid w:val="00587334"/>
    <w:rsid w:val="0058744B"/>
    <w:rsid w:val="00596966"/>
    <w:rsid w:val="005A01C7"/>
    <w:rsid w:val="005B39A6"/>
    <w:rsid w:val="005B466B"/>
    <w:rsid w:val="005C2626"/>
    <w:rsid w:val="005D4841"/>
    <w:rsid w:val="005E178D"/>
    <w:rsid w:val="005E7956"/>
    <w:rsid w:val="005F2ECF"/>
    <w:rsid w:val="005F2FDC"/>
    <w:rsid w:val="005F5749"/>
    <w:rsid w:val="005F626A"/>
    <w:rsid w:val="005F68A0"/>
    <w:rsid w:val="00603871"/>
    <w:rsid w:val="006057F1"/>
    <w:rsid w:val="00613E9E"/>
    <w:rsid w:val="00640D81"/>
    <w:rsid w:val="00642F62"/>
    <w:rsid w:val="00653CBA"/>
    <w:rsid w:val="00666C3E"/>
    <w:rsid w:val="00687E99"/>
    <w:rsid w:val="006A030D"/>
    <w:rsid w:val="006A271A"/>
    <w:rsid w:val="006A6249"/>
    <w:rsid w:val="006A7E34"/>
    <w:rsid w:val="006B2A59"/>
    <w:rsid w:val="006B7F89"/>
    <w:rsid w:val="006D7A5B"/>
    <w:rsid w:val="006E4FCF"/>
    <w:rsid w:val="006F434A"/>
    <w:rsid w:val="0070726A"/>
    <w:rsid w:val="00711030"/>
    <w:rsid w:val="0072075F"/>
    <w:rsid w:val="00726971"/>
    <w:rsid w:val="00733F10"/>
    <w:rsid w:val="0078153A"/>
    <w:rsid w:val="007C03D4"/>
    <w:rsid w:val="007C645A"/>
    <w:rsid w:val="007C704A"/>
    <w:rsid w:val="007E52A2"/>
    <w:rsid w:val="007F7B1B"/>
    <w:rsid w:val="00800D13"/>
    <w:rsid w:val="00802D2C"/>
    <w:rsid w:val="0081174A"/>
    <w:rsid w:val="0081336E"/>
    <w:rsid w:val="008138DB"/>
    <w:rsid w:val="00821625"/>
    <w:rsid w:val="00853C80"/>
    <w:rsid w:val="00854628"/>
    <w:rsid w:val="00857B7C"/>
    <w:rsid w:val="00863850"/>
    <w:rsid w:val="008655B5"/>
    <w:rsid w:val="00870DA3"/>
    <w:rsid w:val="008713B9"/>
    <w:rsid w:val="00871ED0"/>
    <w:rsid w:val="00873144"/>
    <w:rsid w:val="0088731F"/>
    <w:rsid w:val="00895079"/>
    <w:rsid w:val="00896877"/>
    <w:rsid w:val="00896C11"/>
    <w:rsid w:val="008A6791"/>
    <w:rsid w:val="008B62A8"/>
    <w:rsid w:val="008C057F"/>
    <w:rsid w:val="008D14A3"/>
    <w:rsid w:val="008D45ED"/>
    <w:rsid w:val="008E1B68"/>
    <w:rsid w:val="008E471F"/>
    <w:rsid w:val="009039D3"/>
    <w:rsid w:val="0091198B"/>
    <w:rsid w:val="00912A60"/>
    <w:rsid w:val="00915EE9"/>
    <w:rsid w:val="00916FF0"/>
    <w:rsid w:val="009170B9"/>
    <w:rsid w:val="00922A64"/>
    <w:rsid w:val="009353C3"/>
    <w:rsid w:val="00935E48"/>
    <w:rsid w:val="009560BA"/>
    <w:rsid w:val="009821B9"/>
    <w:rsid w:val="0098519B"/>
    <w:rsid w:val="00986552"/>
    <w:rsid w:val="00987345"/>
    <w:rsid w:val="00991E8A"/>
    <w:rsid w:val="009A421B"/>
    <w:rsid w:val="009A4CA6"/>
    <w:rsid w:val="009C05D0"/>
    <w:rsid w:val="009D1677"/>
    <w:rsid w:val="009D7DD7"/>
    <w:rsid w:val="009E1A96"/>
    <w:rsid w:val="009E1F04"/>
    <w:rsid w:val="009F1885"/>
    <w:rsid w:val="009F6BB0"/>
    <w:rsid w:val="00A01E1C"/>
    <w:rsid w:val="00A03249"/>
    <w:rsid w:val="00A50210"/>
    <w:rsid w:val="00A50C49"/>
    <w:rsid w:val="00A65A29"/>
    <w:rsid w:val="00A71A3F"/>
    <w:rsid w:val="00A810EA"/>
    <w:rsid w:val="00AA55F3"/>
    <w:rsid w:val="00AC0F90"/>
    <w:rsid w:val="00AE65DE"/>
    <w:rsid w:val="00AF4B6E"/>
    <w:rsid w:val="00B012C7"/>
    <w:rsid w:val="00B533D0"/>
    <w:rsid w:val="00B5394C"/>
    <w:rsid w:val="00B54B38"/>
    <w:rsid w:val="00B614E6"/>
    <w:rsid w:val="00B61F10"/>
    <w:rsid w:val="00B636A8"/>
    <w:rsid w:val="00B80D76"/>
    <w:rsid w:val="00B95B64"/>
    <w:rsid w:val="00B972E2"/>
    <w:rsid w:val="00BA558B"/>
    <w:rsid w:val="00BA581C"/>
    <w:rsid w:val="00BA750D"/>
    <w:rsid w:val="00BE7BD0"/>
    <w:rsid w:val="00BF676A"/>
    <w:rsid w:val="00BF6944"/>
    <w:rsid w:val="00C06D3D"/>
    <w:rsid w:val="00C13379"/>
    <w:rsid w:val="00C20CEA"/>
    <w:rsid w:val="00C25A67"/>
    <w:rsid w:val="00C30AD7"/>
    <w:rsid w:val="00C319A0"/>
    <w:rsid w:val="00C3643E"/>
    <w:rsid w:val="00C37987"/>
    <w:rsid w:val="00C867F2"/>
    <w:rsid w:val="00C967AB"/>
    <w:rsid w:val="00CB2224"/>
    <w:rsid w:val="00CB4AAD"/>
    <w:rsid w:val="00CC307C"/>
    <w:rsid w:val="00CC5E48"/>
    <w:rsid w:val="00CC7C04"/>
    <w:rsid w:val="00CD352F"/>
    <w:rsid w:val="00CD36F4"/>
    <w:rsid w:val="00CD6856"/>
    <w:rsid w:val="00CE5925"/>
    <w:rsid w:val="00CE65A8"/>
    <w:rsid w:val="00CF661B"/>
    <w:rsid w:val="00CF7AA5"/>
    <w:rsid w:val="00D0755E"/>
    <w:rsid w:val="00D23947"/>
    <w:rsid w:val="00D25DF3"/>
    <w:rsid w:val="00D26AE2"/>
    <w:rsid w:val="00D32627"/>
    <w:rsid w:val="00D56EF4"/>
    <w:rsid w:val="00D74F1A"/>
    <w:rsid w:val="00DA27EB"/>
    <w:rsid w:val="00DA6583"/>
    <w:rsid w:val="00DB1EDD"/>
    <w:rsid w:val="00DC3038"/>
    <w:rsid w:val="00DC4817"/>
    <w:rsid w:val="00DD1D36"/>
    <w:rsid w:val="00DE4E00"/>
    <w:rsid w:val="00DF3A0B"/>
    <w:rsid w:val="00E042FD"/>
    <w:rsid w:val="00E04FAB"/>
    <w:rsid w:val="00E10762"/>
    <w:rsid w:val="00E134BE"/>
    <w:rsid w:val="00E23A98"/>
    <w:rsid w:val="00E246B9"/>
    <w:rsid w:val="00E32853"/>
    <w:rsid w:val="00E43AB7"/>
    <w:rsid w:val="00E7562A"/>
    <w:rsid w:val="00E82B02"/>
    <w:rsid w:val="00E90B34"/>
    <w:rsid w:val="00EB17F8"/>
    <w:rsid w:val="00EB5C3F"/>
    <w:rsid w:val="00EB7541"/>
    <w:rsid w:val="00ED7CB3"/>
    <w:rsid w:val="00EE2F74"/>
    <w:rsid w:val="00EE3BE6"/>
    <w:rsid w:val="00EE3C24"/>
    <w:rsid w:val="00EF1298"/>
    <w:rsid w:val="00EF17E5"/>
    <w:rsid w:val="00F05C11"/>
    <w:rsid w:val="00F10A8D"/>
    <w:rsid w:val="00F33841"/>
    <w:rsid w:val="00F41CB8"/>
    <w:rsid w:val="00F4414F"/>
    <w:rsid w:val="00F5195B"/>
    <w:rsid w:val="00F51C79"/>
    <w:rsid w:val="00F603C5"/>
    <w:rsid w:val="00F610B1"/>
    <w:rsid w:val="00F641F7"/>
    <w:rsid w:val="00F77893"/>
    <w:rsid w:val="00F95593"/>
    <w:rsid w:val="00F96DC2"/>
    <w:rsid w:val="00F97228"/>
    <w:rsid w:val="00FA3081"/>
    <w:rsid w:val="00FA4FDF"/>
    <w:rsid w:val="00FB7FD2"/>
    <w:rsid w:val="00FC52D9"/>
    <w:rsid w:val="00FC741A"/>
    <w:rsid w:val="00FE3648"/>
    <w:rsid w:val="00FF37BE"/>
    <w:rsid w:val="00FF53DE"/>
    <w:rsid w:val="00FF7863"/>
    <w:rsid w:val="027C6F88"/>
    <w:rsid w:val="06EF3754"/>
    <w:rsid w:val="08FA5184"/>
    <w:rsid w:val="0AD870CC"/>
    <w:rsid w:val="0C285C6C"/>
    <w:rsid w:val="0FBD1877"/>
    <w:rsid w:val="12C21700"/>
    <w:rsid w:val="14167E55"/>
    <w:rsid w:val="1583672E"/>
    <w:rsid w:val="162D5C53"/>
    <w:rsid w:val="19847DE1"/>
    <w:rsid w:val="1C483A98"/>
    <w:rsid w:val="1DFE5A09"/>
    <w:rsid w:val="23723C25"/>
    <w:rsid w:val="27223CD6"/>
    <w:rsid w:val="289F7DED"/>
    <w:rsid w:val="2D6901C8"/>
    <w:rsid w:val="2FA67AB2"/>
    <w:rsid w:val="30221577"/>
    <w:rsid w:val="30A11EE7"/>
    <w:rsid w:val="320F4E4C"/>
    <w:rsid w:val="35327C2F"/>
    <w:rsid w:val="360769AF"/>
    <w:rsid w:val="37DB6C66"/>
    <w:rsid w:val="396F3B8D"/>
    <w:rsid w:val="39CE1B14"/>
    <w:rsid w:val="3C382B82"/>
    <w:rsid w:val="3EA11598"/>
    <w:rsid w:val="40B07F2D"/>
    <w:rsid w:val="40C260EC"/>
    <w:rsid w:val="412004EB"/>
    <w:rsid w:val="431D2EA3"/>
    <w:rsid w:val="46EA2326"/>
    <w:rsid w:val="47E304AC"/>
    <w:rsid w:val="512A2001"/>
    <w:rsid w:val="5165540A"/>
    <w:rsid w:val="52475219"/>
    <w:rsid w:val="53C34AFE"/>
    <w:rsid w:val="53C610D5"/>
    <w:rsid w:val="54D026F9"/>
    <w:rsid w:val="5BFC75A5"/>
    <w:rsid w:val="5C9C4D9D"/>
    <w:rsid w:val="5E1847C8"/>
    <w:rsid w:val="648B71A9"/>
    <w:rsid w:val="6B3B167F"/>
    <w:rsid w:val="6CBB2346"/>
    <w:rsid w:val="722718C7"/>
    <w:rsid w:val="73EA3C25"/>
    <w:rsid w:val="7479322E"/>
    <w:rsid w:val="755A71A8"/>
    <w:rsid w:val="763118DA"/>
    <w:rsid w:val="770F6945"/>
    <w:rsid w:val="79F56039"/>
    <w:rsid w:val="7ACB16C6"/>
    <w:rsid w:val="7CE6726D"/>
    <w:rsid w:val="7D4078A9"/>
    <w:rsid w:val="7D7B08C5"/>
    <w:rsid w:val="7EE033E4"/>
    <w:rsid w:val="7FA7585F"/>
    <w:rsid w:val="7FBF3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nhideWhenUsed/>
    <w:qFormat/>
    <w:uiPriority w:val="99"/>
    <w:pPr>
      <w:ind w:firstLine="420" w:firstLineChars="200"/>
    </w:pPr>
    <w:rPr>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方正小标宋t" w:eastAsia="方正小标宋t" w:cs="方正小标宋t" w:hAnsiTheme="minorHAnsi"/>
      <w:color w:val="000000"/>
      <w:sz w:val="24"/>
      <w:szCs w:val="24"/>
      <w:lang w:val="en-US" w:eastAsia="zh-CN" w:bidi="ar-SA"/>
    </w:rPr>
  </w:style>
  <w:style w:type="character" w:customStyle="1" w:styleId="11">
    <w:name w:val="日期 字符"/>
    <w:basedOn w:val="6"/>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F6102-0B56-49DC-AE12-4FBEB3F4BACC}">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1</Pages>
  <Words>202</Words>
  <Characters>1153</Characters>
  <Lines>9</Lines>
  <Paragraphs>2</Paragraphs>
  <TotalTime>0</TotalTime>
  <ScaleCrop>false</ScaleCrop>
  <LinksUpToDate>false</LinksUpToDate>
  <CharactersWithSpaces>1353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2020-06-12T02:26:00Z</dcterms:created>
  <dc:creator>sy</dc:creator>
  <cp:lastModifiedBy>Administrator</cp:lastModifiedBy>
  <cp:lastPrinted>2020-09-02T06:20:00Z</cp:lastPrinted>
  <dcterms:modified xsi:type="dcterms:W3CDTF">2022-05-16T06:06:49Z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082F5D2BA20F4F428C938762FBC53498</vt:lpwstr>
  </property>
  <property fmtid="{D5CDD505-2E9C-101B-9397-08002B2CF9AE}" pid="4" name="docranid">
    <vt:lpwstr>14EDE9D0F9074A6581E0DE6A19ADE9C2</vt:lpwstr>
  </property>
</Properties>
</file>