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bookmarkStart w:id="0" w:name="_GoBack"/>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spacing w:line="60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农村公路安全隐患综合治理</w:t>
      </w:r>
    </w:p>
    <w:p>
      <w:pPr>
        <w:spacing w:line="600" w:lineRule="exact"/>
        <w:jc w:val="center"/>
        <w:rPr>
          <w:rFonts w:ascii="方正小标宋_GBK" w:eastAsia="方正小标宋_GBK"/>
          <w:sz w:val="36"/>
          <w:szCs w:val="36"/>
        </w:rPr>
      </w:pPr>
      <w:r>
        <w:rPr>
          <w:rFonts w:hint="eastAsia" w:asciiTheme="majorEastAsia" w:hAnsiTheme="majorEastAsia" w:eastAsiaTheme="majorEastAsia" w:cstheme="majorEastAsia"/>
          <w:sz w:val="44"/>
          <w:szCs w:val="44"/>
        </w:rPr>
        <w:t>项目支出绩效报告</w:t>
      </w:r>
      <w:r>
        <w:rPr>
          <w:rFonts w:hint="eastAsia" w:asciiTheme="majorEastAsia" w:hAnsiTheme="majorEastAsia" w:eastAsiaTheme="majorEastAsia" w:cstheme="majorEastAsia"/>
          <w:sz w:val="44"/>
          <w:szCs w:val="44"/>
          <w:lang w:eastAsia="zh-CN"/>
        </w:rPr>
        <w:t>（自评）</w:t>
      </w:r>
    </w:p>
    <w:bookmarkEnd w:id="0"/>
    <w:p>
      <w:pPr>
        <w:spacing w:line="600" w:lineRule="exact"/>
        <w:ind w:firstLine="594" w:firstLineChars="200"/>
        <w:rPr>
          <w:rFonts w:ascii="仿宋_GB2312"/>
          <w:b/>
          <w:szCs w:val="32"/>
        </w:rPr>
      </w:pPr>
    </w:p>
    <w:p>
      <w:pPr>
        <w:keepNext w:val="0"/>
        <w:keepLines w:val="0"/>
        <w:widowControl w:val="0"/>
        <w:numPr>
          <w:ilvl w:val="0"/>
          <w:numId w:val="1"/>
        </w:numPr>
        <w:suppressLineNumbers w:val="0"/>
        <w:topLinePunct/>
        <w:spacing w:before="0" w:beforeAutospacing="0" w:after="0" w:afterAutospacing="0"/>
        <w:ind w:right="0" w:rightChars="0" w:firstLine="594" w:firstLineChars="200"/>
        <w:jc w:val="both"/>
        <w:rPr>
          <w:rFonts w:hint="eastAsia" w:ascii="黑体" w:eastAsia="黑体"/>
          <w:szCs w:val="32"/>
        </w:rPr>
      </w:pPr>
      <w:r>
        <w:rPr>
          <w:rFonts w:hint="eastAsia" w:ascii="黑体" w:eastAsia="黑体"/>
          <w:szCs w:val="32"/>
        </w:rPr>
        <w:t>项目基本情况</w:t>
      </w:r>
    </w:p>
    <w:p>
      <w:pPr>
        <w:numPr>
          <w:ilvl w:val="0"/>
          <w:numId w:val="0"/>
        </w:numPr>
        <w:ind w:firstLine="594" w:firstLineChars="200"/>
        <w:rPr>
          <w:rFonts w:hint="eastAsia" w:ascii="仿宋_GB2312" w:hAnsi="仿宋_GB2312" w:eastAsia="仿宋_GB2312" w:cs="仿宋_GB2312"/>
          <w:sz w:val="32"/>
          <w:szCs w:val="32"/>
          <w:lang w:eastAsia="zh-CN"/>
        </w:rPr>
      </w:pPr>
      <w:r>
        <w:rPr>
          <w:rFonts w:hint="eastAsia" w:ascii="仿宋_GB2312" w:hAnsi="Calibri" w:cs="仿宋_GB2312"/>
          <w:kern w:val="2"/>
          <w:sz w:val="32"/>
          <w:szCs w:val="32"/>
          <w:lang w:val="en-US" w:eastAsia="zh-CN" w:bidi="ar"/>
        </w:rPr>
        <w:t>（一）项目基本情况。</w:t>
      </w:r>
      <w:r>
        <w:rPr>
          <w:rFonts w:hint="eastAsia" w:ascii="仿宋_GB2312" w:hAnsi="仿宋_GB2312" w:eastAsia="仿宋_GB2312" w:cs="仿宋_GB2312"/>
          <w:sz w:val="32"/>
          <w:szCs w:val="32"/>
          <w:lang w:val="en-US" w:eastAsia="zh-CN"/>
        </w:rPr>
        <w:t>为全面提升公路安全水平，切实维护人民群众生命财产，保障辖区居民出行安全及行车安全，按照呈贡区交安委《关于进一步完善三铝线缪阳线道路交通设施消除交通安全隐患的紧急报告》和区政府的工作安排，决定对三铝线、缪阳线、沿河路等县乡道路开展交通安全隐患排查整治。我局实施了2020年呈贡区农村公路安全生命防护工程。项目于2020年7月2日取得立项批复，建设内容为：1、沿河路：新建钢管栏杆1588米。2、三铝公路：新建钢筋混凝土护栏379、三波波形护栏1142米、减速标线338.4平方米、标志牌7套、爆闪灯6套。3、缪阳线：新建钢筋混凝土护栏939米、标志牌2套、C20混凝土挡墙1114.5立方米；修补路面3142.13平方米、修复路缘石181.1立方米。</w:t>
      </w:r>
    </w:p>
    <w:p>
      <w:pPr>
        <w:keepNext w:val="0"/>
        <w:keepLines w:val="0"/>
        <w:widowControl w:val="0"/>
        <w:numPr>
          <w:ilvl w:val="0"/>
          <w:numId w:val="0"/>
        </w:numPr>
        <w:suppressLineNumbers w:val="0"/>
        <w:topLinePunct/>
        <w:spacing w:before="0" w:beforeAutospacing="0" w:after="0" w:afterAutospacing="0"/>
        <w:ind w:right="0" w:rightChars="0" w:firstLine="594" w:firstLineChars="200"/>
        <w:jc w:val="both"/>
        <w:rPr>
          <w:rFonts w:hint="eastAsia" w:ascii="仿宋_GB2312" w:hAnsi="Calibri" w:cs="仿宋_GB2312"/>
          <w:kern w:val="2"/>
          <w:sz w:val="32"/>
          <w:szCs w:val="32"/>
          <w:lang w:val="en-US" w:eastAsia="zh-CN" w:bidi="ar"/>
        </w:rPr>
      </w:pPr>
      <w:r>
        <w:rPr>
          <w:rFonts w:hint="eastAsia" w:ascii="仿宋_GB2312" w:hAnsi="Calibri" w:cs="仿宋_GB2312"/>
          <w:kern w:val="2"/>
          <w:sz w:val="32"/>
          <w:szCs w:val="32"/>
          <w:lang w:val="en-US" w:eastAsia="zh-CN" w:bidi="ar"/>
        </w:rPr>
        <w:t>（二）绩效目标设定及指标完成情况。绩效目标设定：</w:t>
      </w:r>
      <w:r>
        <w:rPr>
          <w:rFonts w:hint="eastAsia" w:ascii="仿宋_GB2312" w:hAnsi="仿宋_GB2312" w:eastAsia="仿宋_GB2312" w:cs="仿宋_GB2312"/>
          <w:sz w:val="32"/>
          <w:szCs w:val="32"/>
          <w:lang w:val="en-US" w:eastAsia="zh-CN"/>
        </w:rPr>
        <w:t>2020年呈贡区农村公路安全生命防护工程</w:t>
      </w:r>
      <w:r>
        <w:rPr>
          <w:rFonts w:hint="eastAsia" w:ascii="仿宋_GB2312" w:hAnsi="Calibri" w:cs="仿宋_GB2312"/>
          <w:kern w:val="2"/>
          <w:sz w:val="32"/>
          <w:szCs w:val="32"/>
          <w:lang w:val="en-US" w:eastAsia="zh-CN" w:bidi="ar"/>
        </w:rPr>
        <w:t>建设；指标完成情况：已完成。</w:t>
      </w:r>
    </w:p>
    <w:p>
      <w:pPr>
        <w:keepNext w:val="0"/>
        <w:keepLines w:val="0"/>
        <w:widowControl w:val="0"/>
        <w:suppressLineNumbers w:val="0"/>
        <w:topLinePunct/>
        <w:spacing w:before="0" w:beforeAutospacing="0" w:after="0" w:afterAutospacing="0"/>
        <w:ind w:left="0" w:right="0" w:firstLine="594" w:firstLineChars="200"/>
        <w:jc w:val="both"/>
        <w:rPr>
          <w:rFonts w:hint="eastAsia" w:ascii="黑体" w:hAnsi="Calibri" w:eastAsia="黑体" w:cs="黑体"/>
          <w:szCs w:val="32"/>
          <w:lang w:val="en-US"/>
        </w:rPr>
      </w:pPr>
      <w:r>
        <w:rPr>
          <w:rFonts w:hint="eastAsia" w:ascii="黑体" w:hAnsi="Calibri" w:eastAsia="黑体" w:cs="黑体"/>
          <w:kern w:val="2"/>
          <w:sz w:val="32"/>
          <w:szCs w:val="32"/>
          <w:lang w:val="en-US" w:eastAsia="zh-CN" w:bidi="ar"/>
        </w:rPr>
        <w:t>二、项目资金使用及管理情况</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eastAsia="仿宋_GB2312" w:cs="仿宋_GB2312"/>
          <w:szCs w:val="32"/>
          <w:lang w:val="en-US"/>
        </w:rPr>
      </w:pPr>
      <w:r>
        <w:rPr>
          <w:rFonts w:hint="eastAsia" w:ascii="仿宋_GB2312" w:hAnsi="仿宋_GB2312" w:eastAsia="仿宋_GB2312" w:cs="仿宋_GB2312"/>
          <w:sz w:val="32"/>
          <w:szCs w:val="32"/>
          <w:lang w:val="en-US" w:eastAsia="zh-CN"/>
        </w:rPr>
        <w:t>2020年呈贡区农村公路安全生命防护工程</w:t>
      </w:r>
      <w:r>
        <w:rPr>
          <w:rFonts w:hint="eastAsia" w:ascii="仿宋_GB2312" w:hAnsi="仿宋" w:eastAsia="仿宋_GB2312"/>
          <w:sz w:val="32"/>
          <w:szCs w:val="32"/>
        </w:rPr>
        <w:t>建设项目</w:t>
      </w:r>
      <w:r>
        <w:rPr>
          <w:rFonts w:hint="eastAsia" w:ascii="仿宋_GB2312" w:hAnsi="Calibri" w:eastAsia="仿宋_GB2312" w:cs="仿宋_GB2312"/>
          <w:kern w:val="2"/>
          <w:sz w:val="32"/>
          <w:szCs w:val="32"/>
          <w:lang w:val="en-US" w:eastAsia="zh-CN" w:bidi="ar"/>
        </w:rPr>
        <w:t>，</w:t>
      </w:r>
      <w:r>
        <w:rPr>
          <w:rFonts w:hint="eastAsia" w:ascii="仿宋_GB2312" w:hAnsi="Calibri" w:cs="仿宋_GB2312"/>
          <w:kern w:val="2"/>
          <w:sz w:val="32"/>
          <w:szCs w:val="32"/>
          <w:lang w:val="en-US" w:eastAsia="zh-CN" w:bidi="ar"/>
        </w:rPr>
        <w:t>2020</w:t>
      </w:r>
      <w:r>
        <w:rPr>
          <w:rFonts w:hint="eastAsia" w:ascii="仿宋_GB2312" w:hAnsi="Calibri" w:eastAsia="仿宋_GB2312" w:cs="仿宋_GB2312"/>
          <w:kern w:val="2"/>
          <w:sz w:val="32"/>
          <w:szCs w:val="32"/>
          <w:lang w:val="en-US" w:eastAsia="zh-CN" w:bidi="ar"/>
        </w:rPr>
        <w:t>年初预算资金</w:t>
      </w:r>
      <w:r>
        <w:rPr>
          <w:rFonts w:hint="eastAsia" w:ascii="仿宋_GB2312" w:hAnsi="Calibri" w:cs="仿宋_GB2312"/>
          <w:kern w:val="2"/>
          <w:sz w:val="32"/>
          <w:szCs w:val="32"/>
          <w:lang w:val="en-US" w:eastAsia="zh-CN" w:bidi="ar"/>
        </w:rPr>
        <w:t>90</w:t>
      </w:r>
      <w:r>
        <w:rPr>
          <w:rFonts w:hint="eastAsia" w:ascii="仿宋_GB2312" w:hAnsi="Calibri" w:eastAsia="仿宋_GB2312" w:cs="仿宋_GB2312"/>
          <w:kern w:val="2"/>
          <w:sz w:val="32"/>
          <w:szCs w:val="32"/>
          <w:lang w:val="en-US" w:eastAsia="zh-CN" w:bidi="ar"/>
        </w:rPr>
        <w:t>万元，年末调</w:t>
      </w:r>
      <w:r>
        <w:rPr>
          <w:rFonts w:hint="eastAsia" w:ascii="仿宋_GB2312" w:hAnsi="Calibri" w:cs="仿宋_GB2312"/>
          <w:kern w:val="2"/>
          <w:sz w:val="32"/>
          <w:szCs w:val="32"/>
          <w:lang w:val="en-US" w:eastAsia="zh-CN" w:bidi="ar"/>
        </w:rPr>
        <w:t>增</w:t>
      </w:r>
      <w:r>
        <w:rPr>
          <w:rFonts w:hint="eastAsia" w:ascii="仿宋_GB2312" w:hAnsi="Calibri" w:eastAsia="仿宋_GB2312" w:cs="仿宋_GB2312"/>
          <w:kern w:val="2"/>
          <w:sz w:val="32"/>
          <w:szCs w:val="32"/>
          <w:lang w:val="en-US" w:eastAsia="zh-CN" w:bidi="ar"/>
        </w:rPr>
        <w:t>预算资金</w:t>
      </w:r>
      <w:r>
        <w:rPr>
          <w:rFonts w:hint="eastAsia" w:ascii="仿宋_GB2312" w:hAnsi="Calibri" w:cs="仿宋_GB2312"/>
          <w:kern w:val="2"/>
          <w:sz w:val="32"/>
          <w:szCs w:val="32"/>
          <w:lang w:val="en-US" w:eastAsia="zh-CN" w:bidi="ar"/>
        </w:rPr>
        <w:t>260</w:t>
      </w:r>
      <w:r>
        <w:rPr>
          <w:rFonts w:hint="eastAsia" w:ascii="仿宋_GB2312" w:hAnsi="Calibri" w:eastAsia="仿宋_GB2312" w:cs="仿宋_GB2312"/>
          <w:kern w:val="2"/>
          <w:sz w:val="32"/>
          <w:szCs w:val="32"/>
          <w:lang w:val="en-US" w:eastAsia="zh-CN" w:bidi="ar"/>
        </w:rPr>
        <w:t>万元，</w:t>
      </w:r>
      <w:r>
        <w:rPr>
          <w:rFonts w:hint="eastAsia" w:ascii="仿宋_GB2312" w:hAnsi="Calibri" w:cs="仿宋_GB2312"/>
          <w:kern w:val="2"/>
          <w:sz w:val="32"/>
          <w:szCs w:val="32"/>
          <w:lang w:val="en-US" w:eastAsia="zh-CN" w:bidi="ar"/>
        </w:rPr>
        <w:t>实际预算数为350万元</w:t>
      </w:r>
      <w:r>
        <w:rPr>
          <w:rFonts w:hint="eastAsia" w:ascii="仿宋_GB2312" w:hAnsi="Calibri" w:eastAsia="仿宋_GB2312" w:cs="仿宋_GB2312"/>
          <w:kern w:val="2"/>
          <w:sz w:val="32"/>
          <w:szCs w:val="32"/>
          <w:lang w:val="en-US" w:eastAsia="zh-CN" w:bidi="ar"/>
        </w:rPr>
        <w:t>。</w:t>
      </w:r>
    </w:p>
    <w:p>
      <w:pPr>
        <w:keepNext w:val="0"/>
        <w:keepLines w:val="0"/>
        <w:widowControl w:val="0"/>
        <w:suppressLineNumbers w:val="0"/>
        <w:topLinePunct/>
        <w:spacing w:before="0" w:beforeAutospacing="0" w:after="0" w:afterAutospacing="0"/>
        <w:ind w:left="0" w:right="0" w:firstLine="594" w:firstLineChars="200"/>
        <w:jc w:val="both"/>
        <w:rPr>
          <w:rFonts w:hint="default" w:ascii="仿宋_GB2312" w:hAnsi="Calibri"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2020年</w:t>
      </w:r>
      <w:r>
        <w:rPr>
          <w:rFonts w:hint="eastAsia" w:ascii="仿宋_GB2312" w:hAnsi="仿宋_GB2312" w:eastAsia="仿宋_GB2312" w:cs="仿宋_GB2312"/>
          <w:kern w:val="2"/>
          <w:sz w:val="32"/>
          <w:szCs w:val="32"/>
          <w:lang w:val="en-US" w:eastAsia="zh-CN" w:bidi="ar"/>
        </w:rPr>
        <w:t>项目</w:t>
      </w:r>
      <w:r>
        <w:rPr>
          <w:rFonts w:hint="eastAsia" w:ascii="仿宋_GB2312" w:hAnsi="仿宋_GB2312" w:cs="仿宋_GB2312"/>
          <w:kern w:val="2"/>
          <w:sz w:val="32"/>
          <w:szCs w:val="32"/>
          <w:lang w:val="en-US" w:eastAsia="zh-CN" w:bidi="ar"/>
        </w:rPr>
        <w:t>施工单位</w:t>
      </w:r>
      <w:r>
        <w:rPr>
          <w:rFonts w:hint="eastAsia" w:ascii="仿宋_GB2312" w:hAnsi="Calibri" w:eastAsia="仿宋_GB2312" w:cs="仿宋_GB2312"/>
          <w:kern w:val="2"/>
          <w:sz w:val="32"/>
          <w:szCs w:val="32"/>
          <w:lang w:val="en-US" w:eastAsia="zh-CN" w:bidi="ar"/>
        </w:rPr>
        <w:t>完成工程计量款</w:t>
      </w:r>
      <w:r>
        <w:rPr>
          <w:rFonts w:hint="eastAsia" w:ascii="仿宋_GB2312" w:hAnsi="Calibri" w:cs="仿宋_GB2312"/>
          <w:kern w:val="2"/>
          <w:sz w:val="32"/>
          <w:szCs w:val="32"/>
          <w:lang w:val="en-US" w:eastAsia="zh-CN" w:bidi="ar"/>
        </w:rPr>
        <w:t>430</w:t>
      </w:r>
      <w:r>
        <w:rPr>
          <w:rFonts w:hint="eastAsia" w:ascii="仿宋_GB2312" w:hAnsi="Calibri" w:eastAsia="仿宋_GB2312" w:cs="仿宋_GB2312"/>
          <w:kern w:val="2"/>
          <w:sz w:val="32"/>
          <w:szCs w:val="32"/>
          <w:lang w:val="en-US" w:eastAsia="zh-CN" w:bidi="ar"/>
        </w:rPr>
        <w:t>万元，按照合同约定支付</w:t>
      </w:r>
      <w:r>
        <w:rPr>
          <w:rFonts w:hint="eastAsia" w:ascii="仿宋_GB2312" w:hAnsi="Calibri" w:cs="仿宋_GB2312"/>
          <w:kern w:val="2"/>
          <w:sz w:val="32"/>
          <w:szCs w:val="32"/>
          <w:lang w:val="en-US" w:eastAsia="zh-CN" w:bidi="ar"/>
        </w:rPr>
        <w:t>工程款300</w:t>
      </w:r>
      <w:r>
        <w:rPr>
          <w:rFonts w:hint="eastAsia" w:ascii="仿宋_GB2312" w:hAnsi="Calibri" w:eastAsia="仿宋_GB2312" w:cs="仿宋_GB2312"/>
          <w:kern w:val="2"/>
          <w:sz w:val="32"/>
          <w:szCs w:val="32"/>
          <w:lang w:val="en-US" w:eastAsia="zh-CN" w:bidi="ar"/>
        </w:rPr>
        <w:t>万元，</w:t>
      </w:r>
      <w:r>
        <w:rPr>
          <w:rFonts w:hint="eastAsia" w:ascii="仿宋_GB2312" w:hAnsi="Calibri" w:cs="仿宋_GB2312"/>
          <w:kern w:val="2"/>
          <w:sz w:val="32"/>
          <w:szCs w:val="32"/>
          <w:lang w:val="en-US" w:eastAsia="zh-CN" w:bidi="ar"/>
        </w:rPr>
        <w:t>支付造价咨询、设计招标代理等费用28.618167万元</w:t>
      </w:r>
      <w:r>
        <w:rPr>
          <w:rFonts w:hint="eastAsia" w:ascii="仿宋_GB2312" w:hAnsi="Calibri" w:eastAsia="仿宋_GB2312" w:cs="仿宋_GB2312"/>
          <w:kern w:val="2"/>
          <w:sz w:val="32"/>
          <w:szCs w:val="32"/>
          <w:lang w:val="en-US" w:eastAsia="zh-CN" w:bidi="ar"/>
        </w:rPr>
        <w:t>。</w:t>
      </w:r>
      <w:r>
        <w:rPr>
          <w:rFonts w:hint="eastAsia" w:ascii="仿宋_GB2312" w:hAnsi="Calibri" w:cs="仿宋_GB2312"/>
          <w:kern w:val="2"/>
          <w:sz w:val="32"/>
          <w:szCs w:val="32"/>
          <w:lang w:val="en-US" w:eastAsia="zh-CN" w:bidi="ar"/>
        </w:rPr>
        <w:t>合计完成支付328.618167万元，结余资金用于尾款支付。</w:t>
      </w:r>
    </w:p>
    <w:p>
      <w:pPr>
        <w:keepNext w:val="0"/>
        <w:keepLines w:val="0"/>
        <w:widowControl w:val="0"/>
        <w:suppressLineNumbers w:val="0"/>
        <w:topLinePunct/>
        <w:spacing w:before="0" w:beforeAutospacing="0" w:after="0" w:afterAutospacing="0"/>
        <w:ind w:left="0" w:right="0" w:firstLine="594" w:firstLineChars="200"/>
        <w:jc w:val="both"/>
        <w:rPr>
          <w:rFonts w:hint="eastAsia" w:ascii="黑体" w:hAnsi="Calibri" w:eastAsia="黑体" w:cs="黑体"/>
          <w:szCs w:val="32"/>
          <w:lang w:val="en-US"/>
        </w:rPr>
      </w:pPr>
      <w:r>
        <w:rPr>
          <w:rFonts w:hint="eastAsia" w:ascii="黑体" w:hAnsi="Calibri" w:eastAsia="黑体" w:cs="黑体"/>
          <w:kern w:val="2"/>
          <w:sz w:val="32"/>
          <w:szCs w:val="32"/>
          <w:lang w:val="en-US" w:eastAsia="zh-CN" w:bidi="ar"/>
        </w:rPr>
        <w:t>三、项目组织实施情况</w:t>
      </w:r>
    </w:p>
    <w:p>
      <w:pPr>
        <w:spacing w:line="580" w:lineRule="exact"/>
        <w:ind w:firstLine="594"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Calibri" w:cs="仿宋_GB2312"/>
          <w:kern w:val="2"/>
          <w:sz w:val="32"/>
          <w:szCs w:val="32"/>
          <w:lang w:val="en-US" w:eastAsia="zh-CN" w:bidi="ar"/>
        </w:rPr>
        <w:t>2020年4月、6月分别在昆明市呈贡区投资审批中介超市通过网上竞价+随机抽取的方式选取中鼎誉润工程咨询有限公司为监理招标代理机构、昆明盛发工程造价咨询有限公司为施工招标代理机构，于2020年7月、9月分别在昆明市公共资源交易中心公开开标选取了昆明建设咨询监理有限公司为监理单位、云南华固建设集团有限公司为施工单位，2020年10月10日开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2020年12月10日完工，历时60天。</w:t>
      </w:r>
      <w:r>
        <w:rPr>
          <w:rFonts w:hint="eastAsia" w:ascii="仿宋_GB2312" w:hAnsi="仿宋_GB2312" w:eastAsia="仿宋_GB2312" w:cs="仿宋_GB2312"/>
          <w:sz w:val="32"/>
          <w:szCs w:val="32"/>
        </w:rPr>
        <w:t>主要</w:t>
      </w:r>
      <w:r>
        <w:rPr>
          <w:rFonts w:hint="eastAsia" w:ascii="仿宋_GB2312" w:hAnsi="仿宋_GB2312" w:cs="仿宋_GB2312"/>
          <w:sz w:val="32"/>
          <w:szCs w:val="32"/>
          <w:lang w:val="en-US" w:eastAsia="zh-CN"/>
        </w:rPr>
        <w:t>完成</w:t>
      </w:r>
      <w:r>
        <w:rPr>
          <w:rFonts w:hint="eastAsia" w:ascii="仿宋_GB2312" w:hAnsi="仿宋_GB2312" w:eastAsia="仿宋_GB2312" w:cs="仿宋_GB2312"/>
          <w:sz w:val="32"/>
          <w:szCs w:val="32"/>
        </w:rPr>
        <w:t>工程数量：</w:t>
      </w:r>
      <w:r>
        <w:rPr>
          <w:rFonts w:hint="eastAsia" w:ascii="仿宋_GB2312" w:hAnsi="仿宋_GB2312" w:eastAsia="仿宋_GB2312" w:cs="仿宋_GB2312"/>
          <w:sz w:val="32"/>
          <w:szCs w:val="32"/>
          <w:lang w:val="en-US" w:eastAsia="zh-CN"/>
        </w:rPr>
        <w:t>1、沿河路呈贡区住房</w:t>
      </w:r>
      <w:r>
        <w:rPr>
          <w:rFonts w:hint="eastAsia" w:ascii="仿宋_GB2312" w:hAnsi="仿宋_GB2312" w:cs="仿宋_GB2312"/>
          <w:sz w:val="32"/>
          <w:szCs w:val="32"/>
          <w:lang w:val="en-US" w:eastAsia="zh-CN"/>
        </w:rPr>
        <w:t>和</w:t>
      </w:r>
      <w:r>
        <w:rPr>
          <w:rFonts w:hint="eastAsia" w:ascii="仿宋_GB2312" w:hAnsi="仿宋_GB2312" w:eastAsia="仿宋_GB2312" w:cs="仿宋_GB2312"/>
          <w:sz w:val="32"/>
          <w:szCs w:val="32"/>
          <w:lang w:val="en-US" w:eastAsia="zh-CN"/>
        </w:rPr>
        <w:t>城乡建设局</w:t>
      </w:r>
      <w:r>
        <w:rPr>
          <w:rFonts w:hint="eastAsia" w:ascii="仿宋_GB2312" w:hAnsi="仿宋_GB2312" w:cs="仿宋_GB2312"/>
          <w:sz w:val="32"/>
          <w:szCs w:val="32"/>
          <w:lang w:val="en-US" w:eastAsia="zh-CN"/>
        </w:rPr>
        <w:t>至</w:t>
      </w:r>
      <w:r>
        <w:rPr>
          <w:rFonts w:hint="eastAsia" w:ascii="仿宋_GB2312" w:hAnsi="仿宋_GB2312" w:eastAsia="仿宋_GB2312" w:cs="仿宋_GB2312"/>
          <w:sz w:val="32"/>
          <w:szCs w:val="32"/>
          <w:lang w:val="en-US" w:eastAsia="zh-CN"/>
        </w:rPr>
        <w:t>中铁广州工程局项目部门口，在河道两岸完成钢管栏杆1601米。2、三铝公路起点为梁王路，止点为呈贡区与阳宗镇交界处，完成钢筋混凝土护栏321米，钢筋混凝土护栏新刷及翻新反光油漆1429m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，三波波形护栏1301m，震荡标线315.9m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单悬臂式交通标志牌3块，单立柱式交通标志牌2块，爆闪灯7盏，消除道路安全隐患24处。3、缪阳线起点为起点为梁王路，止点为三联塘防火检查站，完成钢筋混凝土护栏933米，钢筋混凝土护栏新刷及翻新反光油漆2985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，混凝土路面修复712m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，混凝土挡土墙（衡重式、重力式）浇筑1086m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，边坡框格梁整治287.94m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，单悬臂式交通标志牌2块，消除道路安全隐患33处。</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eastAsia="仿宋_GB2312" w:cs="仿宋_GB2312"/>
          <w:szCs w:val="32"/>
          <w:lang w:val="en-US"/>
        </w:rPr>
      </w:pPr>
      <w:r>
        <w:rPr>
          <w:rFonts w:hint="eastAsia" w:ascii="仿宋" w:hAnsi="仿宋" w:eastAsia="仿宋"/>
          <w:color w:val="000000"/>
          <w:szCs w:val="32"/>
        </w:rPr>
        <w:t>施工中定期到工地现场指导工作，对分项工程的重点、工序的重点部位进行旁站检查，驻守施工现场，质量跟踪把关，及时制止施工中出现的质量问题，本着严格管理、一丝不苟的精神，对有质量问题的工程一律进行返工处理，坚决杜绝不合格的工序转序施工；分部、分项工程检验及竣工验收，我局严格按照合同约定，验收合格后</w:t>
      </w:r>
      <w:r>
        <w:rPr>
          <w:rFonts w:ascii="仿宋" w:hAnsi="仿宋" w:eastAsia="仿宋"/>
          <w:color w:val="000000"/>
          <w:szCs w:val="32"/>
        </w:rPr>
        <w:t>支付工程进度款项</w:t>
      </w:r>
      <w:r>
        <w:rPr>
          <w:rFonts w:hint="eastAsia" w:ascii="仿宋" w:hAnsi="仿宋" w:eastAsia="仿宋"/>
          <w:color w:val="000000"/>
          <w:szCs w:val="32"/>
        </w:rPr>
        <w:t>。在工程款支付上，我局严格审批手续，现场施工进度、工程量核实后按照合同约定</w:t>
      </w:r>
      <w:r>
        <w:rPr>
          <w:rFonts w:hint="eastAsia" w:ascii="仿宋" w:hAnsi="仿宋" w:eastAsia="仿宋"/>
          <w:color w:val="000000"/>
          <w:szCs w:val="32"/>
          <w:lang w:val="en-US" w:eastAsia="zh-CN"/>
        </w:rPr>
        <w:t>方可</w:t>
      </w:r>
      <w:r>
        <w:rPr>
          <w:rFonts w:hint="eastAsia" w:ascii="仿宋" w:hAnsi="仿宋" w:eastAsia="仿宋"/>
          <w:color w:val="000000"/>
          <w:szCs w:val="32"/>
        </w:rPr>
        <w:t>拨付工程款。</w:t>
      </w:r>
    </w:p>
    <w:p>
      <w:pPr>
        <w:keepNext w:val="0"/>
        <w:keepLines w:val="0"/>
        <w:widowControl w:val="0"/>
        <w:suppressLineNumbers w:val="0"/>
        <w:topLinePunct/>
        <w:spacing w:before="0" w:beforeAutospacing="0" w:after="0" w:afterAutospacing="0"/>
        <w:ind w:left="0" w:right="0" w:firstLine="594" w:firstLineChars="200"/>
        <w:jc w:val="both"/>
        <w:rPr>
          <w:rFonts w:hint="eastAsia" w:ascii="黑体" w:hAnsi="Calibri" w:eastAsia="黑体" w:cs="黑体"/>
          <w:szCs w:val="32"/>
          <w:lang w:val="en-US"/>
        </w:rPr>
      </w:pPr>
      <w:r>
        <w:rPr>
          <w:rFonts w:hint="eastAsia" w:ascii="黑体" w:hAnsi="Calibri" w:eastAsia="黑体" w:cs="黑体"/>
          <w:kern w:val="2"/>
          <w:sz w:val="32"/>
          <w:szCs w:val="32"/>
          <w:lang w:val="en-US" w:eastAsia="zh-CN" w:bidi="ar"/>
        </w:rPr>
        <w:t>四、项目绩效情况</w:t>
      </w:r>
    </w:p>
    <w:p>
      <w:pPr>
        <w:numPr>
          <w:ilvl w:val="0"/>
          <w:numId w:val="0"/>
        </w:numPr>
        <w:ind w:firstLine="594" w:firstLineChars="200"/>
        <w:rPr>
          <w:rFonts w:hint="default" w:ascii="仿宋_GB2312" w:hAnsi="仿宋_GB2312" w:cs="仿宋_GB2312"/>
          <w:color w:val="000000"/>
          <w:kern w:val="2"/>
          <w:sz w:val="32"/>
          <w:szCs w:val="32"/>
          <w:lang w:val="en-US" w:eastAsia="zh-CN" w:bidi="ar-SA"/>
        </w:rPr>
      </w:pPr>
      <w:r>
        <w:rPr>
          <w:rFonts w:hint="eastAsia" w:ascii="仿宋_GB2312" w:hAnsi="仿宋_GB2312" w:cs="仿宋_GB2312"/>
          <w:color w:val="000000"/>
          <w:kern w:val="2"/>
          <w:sz w:val="32"/>
          <w:szCs w:val="32"/>
          <w:lang w:val="en-US" w:eastAsia="zh-CN" w:bidi="ar-SA"/>
        </w:rPr>
        <w:t>经济方面：</w:t>
      </w:r>
      <w:r>
        <w:rPr>
          <w:rFonts w:hint="eastAsia" w:ascii="仿宋_GB2312" w:hAnsi="仿宋_GB2312" w:eastAsia="仿宋_GB2312" w:cs="仿宋_GB2312"/>
          <w:sz w:val="32"/>
          <w:szCs w:val="32"/>
          <w:lang w:val="en-US" w:eastAsia="zh-CN"/>
        </w:rPr>
        <w:t>2020年呈贡区农村公路安全生命防护工程</w:t>
      </w:r>
      <w:r>
        <w:rPr>
          <w:rFonts w:hint="eastAsia" w:ascii="仿宋_GB2312" w:hAnsi="仿宋_GB2312" w:cs="仿宋_GB2312"/>
          <w:color w:val="000000"/>
          <w:kern w:val="2"/>
          <w:sz w:val="32"/>
          <w:szCs w:val="32"/>
          <w:lang w:val="en-US" w:eastAsia="zh-CN" w:bidi="ar-SA"/>
        </w:rPr>
        <w:t>，招标控制价为450.2864万元，施工单位中标价为428.3373万元，工程结算价约430万元，目前支付工程款</w:t>
      </w:r>
      <w:r>
        <w:rPr>
          <w:rFonts w:hint="eastAsia" w:ascii="仿宋_GB2312" w:hAnsi="Calibri" w:cs="仿宋_GB2312"/>
          <w:kern w:val="2"/>
          <w:sz w:val="32"/>
          <w:szCs w:val="32"/>
          <w:lang w:val="en-US" w:eastAsia="zh-CN" w:bidi="ar"/>
        </w:rPr>
        <w:t>300</w:t>
      </w:r>
      <w:r>
        <w:rPr>
          <w:rFonts w:hint="eastAsia" w:ascii="仿宋_GB2312" w:hAnsi="Calibri" w:eastAsia="仿宋_GB2312" w:cs="仿宋_GB2312"/>
          <w:kern w:val="2"/>
          <w:sz w:val="32"/>
          <w:szCs w:val="32"/>
          <w:lang w:val="en-US" w:eastAsia="zh-CN" w:bidi="ar"/>
        </w:rPr>
        <w:t>万元</w:t>
      </w:r>
      <w:r>
        <w:rPr>
          <w:rFonts w:hint="eastAsia" w:ascii="仿宋_GB2312" w:hAnsi="Calibri" w:cs="仿宋_GB2312"/>
          <w:kern w:val="2"/>
          <w:sz w:val="32"/>
          <w:szCs w:val="32"/>
          <w:lang w:val="en-US" w:eastAsia="zh-CN" w:bidi="ar"/>
        </w:rPr>
        <w:t>，工程尾款待结算审计完成后支付。效率性：已在实现内完成安全隐患治理。有效性</w:t>
      </w:r>
      <w:r>
        <w:rPr>
          <w:rFonts w:hint="eastAsia" w:ascii="仿宋_GB2312" w:hAnsi="仿宋_GB2312" w:eastAsia="仿宋_GB2312" w:cs="仿宋_GB2312"/>
          <w:sz w:val="32"/>
          <w:szCs w:val="32"/>
          <w:lang w:val="en-US" w:eastAsia="zh-CN"/>
        </w:rPr>
        <w:t>消除三铝线、缪阳线、沿河路等县、乡级农村公路安全隐患58处，使呈贡区农村公路交通安全系数等到进一步提升。</w:t>
      </w:r>
      <w:r>
        <w:rPr>
          <w:rFonts w:hint="eastAsia" w:ascii="仿宋_GB2312" w:hAnsi="仿宋_GB2312" w:cs="仿宋_GB2312"/>
          <w:color w:val="000000"/>
          <w:kern w:val="2"/>
          <w:sz w:val="32"/>
          <w:szCs w:val="32"/>
          <w:lang w:val="en-US" w:eastAsia="zh-CN" w:bidi="ar-SA"/>
        </w:rPr>
        <w:t>可持续性：农村公路安全设施管理需要久久为功，在今后的农村公路管理中，要</w:t>
      </w:r>
      <w:r>
        <w:rPr>
          <w:rFonts w:hint="eastAsia" w:ascii="仿宋_GB2312" w:hAnsi="仿宋_GB2312" w:eastAsia="仿宋_GB2312" w:cs="仿宋_GB2312"/>
          <w:sz w:val="32"/>
          <w:szCs w:val="32"/>
          <w:lang w:val="en-US" w:eastAsia="zh-CN"/>
        </w:rPr>
        <w:t>推进农村公路常态化巡查，实时掌握各条农村公路运行情况，做到交通隐患及时被发现、及时被消除。</w:t>
      </w:r>
    </w:p>
    <w:p>
      <w:pPr>
        <w:keepNext w:val="0"/>
        <w:keepLines w:val="0"/>
        <w:widowControl w:val="0"/>
        <w:suppressLineNumbers w:val="0"/>
        <w:topLinePunct/>
        <w:spacing w:before="0" w:beforeAutospacing="0" w:after="0" w:afterAutospacing="0"/>
        <w:ind w:left="0" w:right="0" w:firstLine="594" w:firstLineChars="200"/>
        <w:jc w:val="both"/>
        <w:rPr>
          <w:rFonts w:hint="eastAsia" w:ascii="黑体" w:hAnsi="Calibri" w:eastAsia="黑体" w:cs="黑体"/>
          <w:szCs w:val="32"/>
          <w:lang w:val="en-US"/>
        </w:rPr>
      </w:pPr>
      <w:r>
        <w:rPr>
          <w:rFonts w:hint="eastAsia" w:ascii="黑体" w:hAnsi="Calibri" w:eastAsia="黑体" w:cs="黑体"/>
          <w:kern w:val="2"/>
          <w:sz w:val="32"/>
          <w:szCs w:val="32"/>
          <w:lang w:val="en-US" w:eastAsia="zh-CN" w:bidi="ar"/>
        </w:rPr>
        <w:t>五、存在的问题</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eastAsia="黑体" w:cs="仿宋_GB2312"/>
          <w:szCs w:val="32"/>
          <w:lang w:val="en-US"/>
        </w:rPr>
      </w:pPr>
      <w:r>
        <w:rPr>
          <w:rFonts w:hint="eastAsia" w:ascii="仿宋_GB2312" w:hAnsi="Calibri" w:eastAsia="黑体" w:cs="黑体"/>
          <w:kern w:val="2"/>
          <w:sz w:val="32"/>
          <w:szCs w:val="32"/>
          <w:lang w:val="en-US" w:eastAsia="zh-CN" w:bidi="ar"/>
        </w:rPr>
        <w:t>无</w:t>
      </w:r>
    </w:p>
    <w:p>
      <w:pPr>
        <w:keepNext w:val="0"/>
        <w:keepLines w:val="0"/>
        <w:widowControl w:val="0"/>
        <w:suppressLineNumbers w:val="0"/>
        <w:topLinePunct/>
        <w:spacing w:before="0" w:beforeAutospacing="0" w:after="0" w:afterAutospacing="0"/>
        <w:ind w:left="0" w:right="0" w:firstLine="594" w:firstLineChars="200"/>
        <w:jc w:val="both"/>
        <w:rPr>
          <w:rFonts w:hint="eastAsia" w:ascii="黑体" w:hAnsi="Calibri" w:eastAsia="黑体" w:cs="黑体"/>
          <w:szCs w:val="32"/>
          <w:lang w:val="en-US"/>
        </w:rPr>
      </w:pPr>
      <w:r>
        <w:rPr>
          <w:rFonts w:hint="eastAsia" w:ascii="黑体" w:hAnsi="Calibri" w:eastAsia="黑体" w:cs="黑体"/>
          <w:kern w:val="2"/>
          <w:sz w:val="32"/>
          <w:szCs w:val="32"/>
          <w:lang w:val="en-US" w:eastAsia="zh-CN" w:bidi="ar"/>
        </w:rPr>
        <w:t>六、其他需要说明的问题</w:t>
      </w:r>
    </w:p>
    <w:p>
      <w:pPr>
        <w:keepNext w:val="0"/>
        <w:keepLines w:val="0"/>
        <w:widowControl w:val="0"/>
        <w:suppressLineNumbers w:val="0"/>
        <w:spacing w:before="0" w:beforeAutospacing="0" w:after="0" w:afterAutospacing="0"/>
        <w:ind w:left="0" w:right="0" w:firstLine="594" w:firstLineChars="200"/>
        <w:jc w:val="both"/>
      </w:pPr>
      <w:r>
        <w:rPr>
          <w:rFonts w:hint="eastAsia" w:ascii="Calibri" w:hAnsi="Calibri" w:eastAsia="仿宋_GB2312" w:cs="仿宋_GB2312"/>
          <w:kern w:val="2"/>
          <w:sz w:val="32"/>
          <w:szCs w:val="22"/>
          <w:lang w:val="en-US" w:eastAsia="zh-CN" w:bidi="ar"/>
        </w:rPr>
        <w:t>无</w:t>
      </w:r>
    </w:p>
    <w:p>
      <w:pPr>
        <w:topLinePunct/>
        <w:ind w:firstLine="594" w:firstLineChars="200"/>
        <w:rPr>
          <w:rFonts w:ascii="仿宋_GB2312"/>
          <w:szCs w:val="32"/>
        </w:rPr>
      </w:pP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D24E4"/>
    <w:multiLevelType w:val="singleLevel"/>
    <w:tmpl w:val="072D24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F4DB5"/>
    <w:rsid w:val="05AE36CA"/>
    <w:rsid w:val="11241E59"/>
    <w:rsid w:val="14427422"/>
    <w:rsid w:val="16CA16FA"/>
    <w:rsid w:val="2F0F4F01"/>
    <w:rsid w:val="30CE30ED"/>
    <w:rsid w:val="378A5996"/>
    <w:rsid w:val="4B1C7E14"/>
    <w:rsid w:val="50916764"/>
    <w:rsid w:val="5A3C6978"/>
    <w:rsid w:val="5EA837A4"/>
    <w:rsid w:val="67600811"/>
    <w:rsid w:val="6FF069C2"/>
    <w:rsid w:val="748A131E"/>
    <w:rsid w:val="7969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w:basedOn w:val="1"/>
    <w:qFormat/>
    <w:uiPriority w:val="0"/>
    <w:pPr>
      <w:spacing w:after="120" w:afterLines="0"/>
    </w:pPr>
    <w:rPr>
      <w:kern w:val="0"/>
    </w:rPr>
  </w:style>
  <w:style w:type="paragraph" w:customStyle="1" w:styleId="5">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hp</cp:lastModifiedBy>
  <dcterms:modified xsi:type="dcterms:W3CDTF">2022-03-23T03:39:28Z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6A43DCA990DE4B3FA5757F3B7AD13B3F</vt:lpwstr>
  </property>
</Properties>
</file>