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昆明市呈贡区住房和城乡建设局部门</w:t>
      </w:r>
    </w:p>
    <w:p>
      <w:pPr>
        <w:snapToGrid w:val="0"/>
        <w:spacing w:line="57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202</w:t>
      </w:r>
      <w:r>
        <w:rPr>
          <w:rFonts w:hint="eastAsia" w:ascii="方正小标宋简体" w:hAnsi="Times New Roman" w:eastAsia="方正小标宋简体" w:cs="Times New Roman"/>
          <w:sz w:val="36"/>
          <w:szCs w:val="36"/>
          <w:lang w:val="en-US" w:eastAsia="zh-CN"/>
        </w:rPr>
        <w:t>2</w:t>
      </w:r>
      <w:r>
        <w:rPr>
          <w:rFonts w:hint="eastAsia" w:ascii="方正小标宋简体" w:hAnsi="Times New Roman" w:eastAsia="方正小标宋简体" w:cs="Times New Roman"/>
          <w:sz w:val="36"/>
          <w:szCs w:val="36"/>
        </w:rPr>
        <w:t>年</w:t>
      </w:r>
      <w:r>
        <w:rPr>
          <w:rFonts w:hint="eastAsia" w:ascii="方正小标宋简体" w:hAnsi="Times New Roman" w:eastAsia="方正小标宋简体" w:cs="Times New Roman"/>
          <w:sz w:val="36"/>
          <w:szCs w:val="36"/>
        </w:rPr>
        <w:t>市政及设施建设和维护管理项目</w:t>
      </w:r>
    </w:p>
    <w:p>
      <w:pPr>
        <w:snapToGrid w:val="0"/>
        <w:spacing w:line="570" w:lineRule="exact"/>
        <w:jc w:val="center"/>
        <w:rPr>
          <w:rFonts w:hint="eastAsia" w:ascii="方正小标宋简体" w:hAnsi="华文中宋" w:eastAsia="方正小标宋简体"/>
          <w:spacing w:val="14"/>
          <w:sz w:val="44"/>
          <w:szCs w:val="44"/>
        </w:rPr>
      </w:pP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市政道路、桥梁、市政设施维护管养专项经费</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《昆明市人民政府关于印发昆明市城市道路养护维修管理办法的通知》</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《昆明市城市道路及附属设施移交管理实施细则》</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《昆明市城市道路管理条例》</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昆明市市容环境整治工作领导小组综合协调办公室《关于印发昆明市开展市容环境“十大”整治活动提升城市形象行动方案的通知》（昆市容整办〔2021〕6号）</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昆明市呈贡区人民政府办公室《关于印发《生物多样性公约》第十五次缔约方大会昆明市呈贡区城市道路平坦化进一步提质提升工作方案的通知》（政协办笺〔2021〕54号）</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中共昆明市呈贡区委机构编制委员会《关于调整呈贡区城市道路桥梁（隧道）管理养护职责及机构编制事项的通知（章）》（呈编〔2021〕23号）</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《JTG H12-2015 公路隧道养护技术规范》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《城市桥梁检测与评定技术规范 CJJT 233-2015》</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《CJJ 99-2017 城市桥梁养护技术标准》</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《CJJ 37-2012 城市道路工程设计规范》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《CJJ 36-2016 城镇道路养护技术规范》</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单位名称：昆明市呈贡区住房和城乡建设局</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组织机构代码：11530121015129667E</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地址：兴呈路4800号</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联系电话：0871-67479632法人代表：尹愿辉</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经费来源：财政拨款</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单位概况：中共昆明市呈贡区委办公室  昆明市呈贡区人民政府办公室于2019年3月18日印发《昆明市呈贡区住房和城乡建设局职能配置、内设机构和人员编制规定的通知》（呈办通〔2019〕20号）文件，设立昆明市呈贡区住房和城乡建设局，为政府工作部门，正科级。在职人员编制17人，其中：行政编制 17人，事业编制0人。在职实有20人，离退休人员 10人。</w:t>
      </w:r>
    </w:p>
    <w:p>
      <w:pPr>
        <w:widowControl/>
        <w:ind w:firstLine="600" w:firstLineChars="200"/>
        <w:jc w:val="lef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0"/>
          <w:szCs w:val="30"/>
          <w:lang w:val="en-US" w:eastAsia="zh-CN"/>
        </w:rPr>
        <w:t>主要负责辖区内市政道路等基础设施建设的协调管理与推进工作，负责辖区范围内占用、挖掘城市道路施工组织方案审查工作；公租房、廉租房等保障性住房建设与管理，及在建设指挥部统一安排下推进失地农民安置房建设；权限范围内燃气站点核准许可、工程质量注册、建设安全生产备案、建设工程消防管理等行政审批服务项目的审批管理工作；辖区内城市排水管网系统运行维护，配合做好辖区排水管网建设的技术审查和城市排水许可的审批、批后监管；建筑质量、建筑安全生、建筑市场、物业企业、绿色建筑推广、城市燃气安全、商品房交易等行业监管，以及防震减灾和人民防空工作；完成区委区政府赋予的具体项目建设任务。</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提升城市道路管理维护工作，切实提高城市道路精细化管理维护水平，确保辖区城市道路平坦通畅，道路、桥梁（隧道）运行情况良好，开展道路、桥梁（隧道）管理维护工作。目前在管城市道路长度约170公里，面积约594万平方米，桥梁49座，隧道6座。</w:t>
      </w:r>
    </w:p>
    <w:p>
      <w:pPr>
        <w:pStyle w:val="7"/>
        <w:ind w:firstLine="600" w:firstLineChars="200"/>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五、</w:t>
      </w:r>
      <w:r>
        <w:rPr>
          <w:rFonts w:hint="eastAsia" w:ascii="黑体" w:hAnsi="黑体" w:eastAsia="黑体" w:cs="黑体"/>
          <w:kern w:val="0"/>
          <w:sz w:val="30"/>
          <w:szCs w:val="30"/>
        </w:rPr>
        <w:t>项目实施内容</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1、道路、桥梁管养维护</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2、网格化案件12345市长热线件工作</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3、桥梁（隧道）安全检测</w:t>
      </w:r>
    </w:p>
    <w:p>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4、道路、桥梁管养造价咨询监理服务（含网格化案件）</w:t>
      </w:r>
    </w:p>
    <w:p>
      <w:pPr>
        <w:widowControl/>
        <w:numPr>
          <w:ilvl w:val="0"/>
          <w:numId w:val="0"/>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六、</w:t>
      </w:r>
      <w:r>
        <w:rPr>
          <w:rFonts w:hint="eastAsia" w:ascii="黑体" w:hAnsi="黑体" w:eastAsia="黑体" w:cs="黑体"/>
          <w:kern w:val="0"/>
          <w:sz w:val="30"/>
          <w:szCs w:val="30"/>
        </w:rPr>
        <w:t>资金安排情况</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1、道路、桥梁管养维护费（含网格化案件处置等）1257.6万元；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2、道路管养修复约32批次，每批次按2000元造价咨询服务费计算合计6.4万元；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3、54座桥梁（隧道）安全检测费用合计约200万元；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4、预测2022年管养费15000000元，根据规定按2.5%支付监理费30万；道路及天桥未移交前产生水电费6万元。</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项目合计金额1500万元。</w:t>
      </w:r>
    </w:p>
    <w:p>
      <w:pPr>
        <w:widowControl/>
        <w:numPr>
          <w:ilvl w:val="0"/>
          <w:numId w:val="2"/>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道路、桥梁（隧道）管养维护全年常态化。道路、桥梁（隧道）管养按《呈贡区2019-2020年道路、桥梁、人行道、市政基础设施、管养维护项目建设工程施工合同》及《建设工程监理合同》执行；桥梁(隧道)安全检测按《呈贡区2021年城市桥梁(隧道)安全检测项目合同》执行；网格化管理案件12345市长热线件工作按实际产生费用支付。</w:t>
      </w:r>
    </w:p>
    <w:p>
      <w:pPr>
        <w:widowControl/>
        <w:numPr>
          <w:ilvl w:val="0"/>
          <w:numId w:val="2"/>
        </w:numPr>
        <w:ind w:left="0" w:leftChars="0" w:firstLine="60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0"/>
          <w:szCs w:val="30"/>
        </w:rPr>
        <w:t>项目实施成效</w:t>
      </w:r>
    </w:p>
    <w:p>
      <w:pPr>
        <w:widowControl/>
        <w:numPr>
          <w:ilvl w:val="0"/>
          <w:numId w:val="0"/>
        </w:numPr>
        <w:ind w:firstLine="600" w:firstLineChars="200"/>
        <w:jc w:val="left"/>
        <w:rPr>
          <w:rFonts w:hint="default" w:ascii="黑体" w:hAnsi="黑体" w:eastAsia="黑体" w:cs="黑体"/>
          <w:kern w:val="0"/>
          <w:sz w:val="30"/>
          <w:szCs w:val="30"/>
          <w:lang w:val="en-US" w:eastAsia="zh-CN"/>
        </w:rPr>
      </w:pPr>
      <w:bookmarkStart w:id="0" w:name="_GoBack"/>
      <w:r>
        <w:rPr>
          <w:rFonts w:hint="eastAsia" w:ascii="Times New Roman" w:hAnsi="Times New Roman" w:eastAsia="仿宋_GB2312" w:cs="Times New Roman"/>
          <w:kern w:val="0"/>
          <w:sz w:val="30"/>
          <w:szCs w:val="30"/>
          <w:lang w:val="en-US" w:eastAsia="zh-CN"/>
        </w:rPr>
        <w:t>对呈贡辖区内已移交的城市道路、桥梁和市政设施进行管养维护，对网格中心派遣案件进行处置。确保辖区内道路连续平整，无明显坑塘，进一步提升道路通行质量。</w:t>
      </w:r>
      <w:bookmarkEnd w:id="0"/>
      <w:r>
        <w:rPr>
          <w:rFonts w:hint="eastAsia" w:ascii="仿宋_GB2312" w:hAnsi="仿宋_GB2312" w:eastAsia="仿宋_GB2312" w:cs="仿宋_GB2312"/>
          <w:kern w:val="0"/>
          <w:sz w:val="32"/>
          <w:szCs w:val="32"/>
          <w:lang w:val="en-US" w:eastAsia="zh-CN"/>
        </w:rPr>
        <w:t xml:space="preserve">  </w:t>
      </w:r>
    </w:p>
    <w:p>
      <w:pPr>
        <w:pStyle w:val="7"/>
        <w:ind w:firstLine="600" w:firstLineChars="200"/>
        <w:rPr>
          <w:rFonts w:hint="eastAsia"/>
          <w:lang w:val="en-US" w:eastAsia="zh-CN"/>
        </w:rPr>
      </w:pPr>
      <w:r>
        <w:rPr>
          <w:rFonts w:hint="eastAsia" w:ascii="黑体" w:hAnsi="黑体" w:eastAsia="黑体" w:cs="黑体"/>
          <w:kern w:val="0"/>
          <w:sz w:val="30"/>
          <w:szCs w:val="30"/>
          <w:lang w:val="en-US" w:eastAsia="zh-CN"/>
        </w:rPr>
        <w:t>九、</w:t>
      </w:r>
      <w:r>
        <w:rPr>
          <w:rFonts w:hint="eastAsia" w:ascii="黑体" w:hAnsi="黑体" w:eastAsia="黑体" w:cs="黑体"/>
          <w:kern w:val="0"/>
          <w:sz w:val="30"/>
          <w:szCs w:val="30"/>
        </w:rPr>
        <w:t>项目绩效目标表</w:t>
      </w:r>
    </w:p>
    <w:p>
      <w:pPr>
        <w:widowControl/>
        <w:numPr>
          <w:ilvl w:val="0"/>
          <w:numId w:val="0"/>
        </w:numPr>
        <w:ind w:firstLine="600" w:firstLineChars="200"/>
        <w:jc w:val="left"/>
        <w:rPr>
          <w:rFonts w:hint="eastAsia" w:ascii="黑体" w:hAnsi="黑体" w:eastAsia="黑体" w:cs="黑体"/>
          <w:kern w:val="0"/>
          <w:sz w:val="30"/>
          <w:szCs w:val="30"/>
          <w:lang w:val="en-US" w:eastAsia="zh-CN"/>
        </w:rPr>
      </w:pPr>
    </w:p>
    <w:p>
      <w:pPr>
        <w:widowControl/>
        <w:numPr>
          <w:ilvl w:val="0"/>
          <w:numId w:val="0"/>
        </w:numPr>
        <w:jc w:val="left"/>
        <w:rPr>
          <w:rFonts w:hint="eastAsia" w:ascii="黑体" w:hAnsi="黑体" w:eastAsia="黑体" w:cs="黑体"/>
          <w:kern w:val="0"/>
          <w:sz w:val="30"/>
          <w:szCs w:val="30"/>
          <w:lang w:val="en-US" w:eastAsia="zh-CN"/>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1820" w:tblpY="1169"/>
        <w:tblOverlap w:val="never"/>
        <w:tblW w:w="5000" w:type="pct"/>
        <w:tblInd w:w="0" w:type="dxa"/>
        <w:shd w:val="clear" w:color="auto" w:fill="auto"/>
        <w:tblLayout w:type="autofit"/>
        <w:tblCellMar>
          <w:top w:w="0" w:type="dxa"/>
          <w:left w:w="0" w:type="dxa"/>
          <w:bottom w:w="0" w:type="dxa"/>
          <w:right w:w="0" w:type="dxa"/>
        </w:tblCellMar>
      </w:tblPr>
      <w:tblGrid>
        <w:gridCol w:w="990"/>
        <w:gridCol w:w="1452"/>
        <w:gridCol w:w="1458"/>
        <w:gridCol w:w="573"/>
        <w:gridCol w:w="1980"/>
        <w:gridCol w:w="752"/>
        <w:gridCol w:w="875"/>
        <w:gridCol w:w="1902"/>
        <w:gridCol w:w="1897"/>
        <w:gridCol w:w="2109"/>
      </w:tblGrid>
      <w:tr>
        <w:tblPrEx>
          <w:shd w:val="clear" w:color="auto" w:fill="auto"/>
          <w:tblCellMar>
            <w:top w:w="0" w:type="dxa"/>
            <w:left w:w="0" w:type="dxa"/>
            <w:bottom w:w="0" w:type="dxa"/>
            <w:right w:w="0" w:type="dxa"/>
          </w:tblCellMar>
        </w:tblPrEx>
        <w:trPr>
          <w:trHeight w:val="664"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5783" w:firstLineChars="1600"/>
              <w:jc w:val="both"/>
              <w:textAlignment w:val="center"/>
              <w:rPr>
                <w:rFonts w:hint="eastAsia" w:ascii="仿宋_GB2312" w:hAnsi="仿宋_GB2312" w:eastAsia="仿宋_GB2312" w:cs="仿宋_GB2312"/>
                <w:b/>
                <w:i w:val="0"/>
                <w:color w:val="000000"/>
                <w:sz w:val="36"/>
                <w:szCs w:val="36"/>
                <w:u w:val="none"/>
              </w:rPr>
            </w:pPr>
            <w:r>
              <w:rPr>
                <w:rFonts w:hint="eastAsia" w:ascii="仿宋_GB2312" w:hAnsi="仿宋_GB2312" w:eastAsia="仿宋_GB2312" w:cs="仿宋_GB2312"/>
                <w:b/>
                <w:i w:val="0"/>
                <w:color w:val="000000"/>
                <w:kern w:val="0"/>
                <w:sz w:val="36"/>
                <w:szCs w:val="36"/>
                <w:u w:val="none"/>
                <w:lang w:val="en-US" w:eastAsia="zh-CN" w:bidi="ar"/>
              </w:rPr>
              <w:t>项目绩效目标表</w:t>
            </w:r>
          </w:p>
        </w:tc>
      </w:tr>
      <w:tr>
        <w:tblPrEx>
          <w:shd w:val="clear" w:color="auto" w:fill="auto"/>
          <w:tblCellMar>
            <w:top w:w="0" w:type="dxa"/>
            <w:left w:w="0" w:type="dxa"/>
            <w:bottom w:w="0" w:type="dxa"/>
            <w:right w:w="0" w:type="dxa"/>
          </w:tblCellMar>
        </w:tblPrEx>
        <w:trPr>
          <w:trHeight w:val="165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项目目标</w:t>
            </w: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总体目标(2021年-2023年)</w:t>
            </w:r>
          </w:p>
        </w:tc>
        <w:tc>
          <w:tcPr>
            <w:tcW w:w="360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根据相关规范、规定与相关要求，提升城市道路管理维护工作，切实提高城市道路精细化管理维护水平，确保辖区城市道路平坦通畅，道路、桥梁（隧道）运行情况良好。</w:t>
            </w:r>
          </w:p>
        </w:tc>
      </w:tr>
      <w:tr>
        <w:tblPrEx>
          <w:shd w:val="clear" w:color="auto" w:fill="auto"/>
          <w:tblCellMar>
            <w:top w:w="0" w:type="dxa"/>
            <w:left w:w="0" w:type="dxa"/>
            <w:bottom w:w="0" w:type="dxa"/>
            <w:right w:w="0" w:type="dxa"/>
          </w:tblCellMar>
        </w:tblPrEx>
        <w:trPr>
          <w:trHeight w:val="165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预算年度(2021年)目标</w:t>
            </w:r>
          </w:p>
        </w:tc>
        <w:tc>
          <w:tcPr>
            <w:tcW w:w="360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相关规范、规定与相关要求，结合部门职能职责，对呈贡辖区内移交至行政管理部门维护管养的城市道路、桥梁（隧道）和相关市政设施开展维护管养工作，对网格中心派遣案件进行处置。对桥梁（隧道）的使用状况、缺陷情况的现场检查，综合评估受检桥梁（隧道）及各部件的技术状况、桥梁承载能力状况，为桥梁（隧道）养护提供技术支撑，为桥梁（隧道）科学管理和提高养护水平积累技术资料。确保辖区城市道路平坦通畅，道路、桥梁（隧道）运行情况良好。</w:t>
            </w:r>
          </w:p>
        </w:tc>
      </w:tr>
      <w:tr>
        <w:tblPrEx>
          <w:shd w:val="clear" w:color="auto" w:fill="auto"/>
          <w:tblCellMar>
            <w:top w:w="0" w:type="dxa"/>
            <w:left w:w="0" w:type="dxa"/>
            <w:bottom w:w="0" w:type="dxa"/>
            <w:right w:w="0" w:type="dxa"/>
          </w:tblCellMar>
        </w:tblPrEx>
        <w:trPr>
          <w:trHeight w:val="525" w:hRule="atLeast"/>
        </w:trPr>
        <w:tc>
          <w:tcPr>
            <w:tcW w:w="2888"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绩效指标</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评（扣）分标准</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指标内容</w:t>
            </w:r>
          </w:p>
        </w:tc>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绩效指标值设定依据及数据来源</w:t>
            </w:r>
          </w:p>
        </w:tc>
      </w:tr>
      <w:tr>
        <w:tblPrEx>
          <w:shd w:val="clear" w:color="auto" w:fill="auto"/>
          <w:tblCellMar>
            <w:top w:w="0" w:type="dxa"/>
            <w:left w:w="0" w:type="dxa"/>
            <w:bottom w:w="0" w:type="dxa"/>
            <w:right w:w="0" w:type="dxa"/>
          </w:tblCellMar>
        </w:tblPrEx>
        <w:trPr>
          <w:trHeight w:val="52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三级指标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指标性质</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指标值</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度量单位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指标属性</w:t>
            </w: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数量指标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修复破损路面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达到要求</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辖区内各条市政道路路面通行功能正常发挥</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2021年开展工作任务</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网格化案件</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处理完成</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预计2022年处置网格化案件</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参照2021年处理件数</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质量指标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验收合格率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合格</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验收合格</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依据合同</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时效指标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计划完工时限</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&gt;=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12月底</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计划时间内</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时效时间</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2021年开展工作任务</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成本指标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专项检测费</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万元</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预算范围</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合同要求</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参照2020年实际支出预测</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修复破损路面 、道路桥梁维护管养费用</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万元</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预算范围</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实际发生</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参照2020年实际支出预测</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经济效益指标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投资率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&gt;=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道路通行质量</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达到</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提升道路通行质量</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工作任务</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受益人群覆盖率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&gt;=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市民群众投诉反映率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全覆盖</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受益人群覆盖</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工作任务</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可持续影响指标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对呈贡区未来可持续发展影响</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&gt;=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开展工作任务</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服务对象满意度指标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60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群众满意度</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&gt;=</w:t>
            </w:r>
          </w:p>
        </w:tc>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持续提升</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开展工作任务</w:t>
            </w:r>
          </w:p>
        </w:tc>
      </w:tr>
    </w:tbl>
    <w:p>
      <w:pPr>
        <w:pStyle w:val="7"/>
        <w:rPr>
          <w:rFonts w:hint="eastAsia" w:ascii="黑体" w:hAnsi="黑体" w:eastAsia="黑体" w:cs="黑体"/>
          <w:kern w:val="0"/>
          <w:sz w:val="30"/>
          <w:szCs w:val="30"/>
          <w:lang w:val="en-US" w:eastAsia="zh-CN"/>
        </w:rPr>
      </w:pPr>
    </w:p>
    <w:p>
      <w:pPr>
        <w:pStyle w:val="7"/>
        <w:numPr>
          <w:ilvl w:val="0"/>
          <w:numId w:val="0"/>
        </w:numPr>
        <w:ind w:leftChars="200"/>
        <w:rPr>
          <w:rFonts w:hint="eastAsia"/>
        </w:rPr>
      </w:pPr>
    </w:p>
    <w:p>
      <w:pPr>
        <w:pStyle w:val="7"/>
        <w:rPr>
          <w:rFonts w:hint="eastAsia"/>
        </w:rPr>
      </w:pPr>
    </w:p>
    <w:p>
      <w:pPr>
        <w:pStyle w:val="7"/>
        <w:numPr>
          <w:ilvl w:val="0"/>
          <w:numId w:val="0"/>
        </w:numPr>
        <w:ind w:firstLine="640" w:firstLineChars="200"/>
        <w:rPr>
          <w:rFonts w:hint="eastAsia" w:ascii="仿宋_GB2312" w:hAnsi="仿宋_GB2312" w:cs="仿宋_GB2312"/>
          <w:lang w:eastAsia="zh-CN"/>
        </w:rPr>
      </w:pPr>
    </w:p>
    <w:p>
      <w:pPr>
        <w:pStyle w:val="7"/>
        <w:ind w:firstLine="640" w:firstLineChars="200"/>
        <w:rPr>
          <w:rFonts w:hint="eastAsia" w:ascii="仿宋_GB2312" w:hAnsi="仿宋_GB2312" w:eastAsia="仿宋_GB2312" w:cs="仿宋_GB2312"/>
        </w:rPr>
      </w:pPr>
    </w:p>
    <w:p>
      <w:pPr>
        <w:pStyle w:val="7"/>
        <w:ind w:firstLine="640" w:firstLineChars="200"/>
        <w:rPr>
          <w:rFonts w:hint="eastAsia" w:ascii="仿宋_GB2312" w:hAnsi="仿宋_GB2312" w:eastAsia="仿宋_GB2312" w:cs="仿宋_GB2312"/>
          <w:sz w:val="32"/>
          <w:szCs w:val="32"/>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1D8FA"/>
    <w:multiLevelType w:val="singleLevel"/>
    <w:tmpl w:val="1D91D8FA"/>
    <w:lvl w:ilvl="0" w:tentative="0">
      <w:start w:val="7"/>
      <w:numFmt w:val="chineseCounting"/>
      <w:suff w:val="nothing"/>
      <w:lvlText w:val="%1、"/>
      <w:lvlJc w:val="left"/>
      <w:rPr>
        <w:rFonts w:hint="eastAsia"/>
      </w:rPr>
    </w:lvl>
  </w:abstractNum>
  <w:abstractNum w:abstractNumId="1">
    <w:nsid w:val="650CB686"/>
    <w:multiLevelType w:val="singleLevel"/>
    <w:tmpl w:val="650CB68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C00EF"/>
    <w:rsid w:val="00C12502"/>
    <w:rsid w:val="035C00EF"/>
    <w:rsid w:val="0FA53DE8"/>
    <w:rsid w:val="14FF20E9"/>
    <w:rsid w:val="2D54393B"/>
    <w:rsid w:val="32292772"/>
    <w:rsid w:val="34584A1D"/>
    <w:rsid w:val="4DF77305"/>
    <w:rsid w:val="5A7D1C62"/>
    <w:rsid w:val="5EA456ED"/>
    <w:rsid w:val="7718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unhideWhenUsed/>
    <w:qFormat/>
    <w:uiPriority w:val="99"/>
    <w:pPr>
      <w:widowControl w:val="0"/>
      <w:autoSpaceDE w:val="0"/>
      <w:autoSpaceDN w:val="0"/>
      <w:adjustRightInd w:val="0"/>
    </w:pPr>
    <w:rPr>
      <w:rFonts w:hint="eastAsia" w:ascii="方正小标宋_GBK" w:hAnsi="方正小标宋_GBK" w:eastAsia="仿宋_GB2312"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2022-02-08T02:39:00Z</dcterms:created>
  <dc:creator>H2ohhh</dc:creator>
  <cp:lastModifiedBy>沛剑</cp:lastModifiedBy>
  <dcterms:modified xsi:type="dcterms:W3CDTF">2022-02-10T07:15:27Z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434193762_cloud</vt:lpwstr>
  </property>
  <property fmtid="{D5CDD505-2E9C-101B-9397-08002B2CF9AE}" pid="4" name="ICV">
    <vt:lpwstr>DFEAAA187B0D4C76A27D5595D37C0F1F</vt:lpwstr>
  </property>
</Properties>
</file>