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99" w:rsidRDefault="00231999">
      <w:pPr>
        <w:rPr>
          <w:rFonts w:ascii="黑体" w:eastAsia="黑体"/>
          <w:szCs w:val="32"/>
        </w:rPr>
      </w:pPr>
    </w:p>
    <w:p w:rsidR="00231999" w:rsidRDefault="008A5A76">
      <w:pPr>
        <w:spacing w:line="600" w:lineRule="exact"/>
        <w:jc w:val="center"/>
        <w:rPr>
          <w:rFonts w:ascii="方正小标宋_GBK" w:eastAsia="方正小标宋_GBK"/>
          <w:sz w:val="36"/>
          <w:szCs w:val="36"/>
        </w:rPr>
      </w:pPr>
      <w:r>
        <w:rPr>
          <w:rFonts w:ascii="方正小标宋_GBK" w:eastAsia="方正小标宋_GBK" w:hint="eastAsia"/>
          <w:sz w:val="36"/>
          <w:szCs w:val="36"/>
        </w:rPr>
        <w:t>呈贡区总工会</w:t>
      </w:r>
      <w:r w:rsidR="00EC3E97">
        <w:rPr>
          <w:rFonts w:ascii="方正小标宋_GBK" w:eastAsia="方正小标宋_GBK" w:hint="eastAsia"/>
          <w:sz w:val="36"/>
          <w:szCs w:val="36"/>
        </w:rPr>
        <w:t>项目支出绩效报告</w:t>
      </w:r>
    </w:p>
    <w:p w:rsidR="00231999" w:rsidRDefault="00231999" w:rsidP="008A5A76">
      <w:pPr>
        <w:spacing w:line="600" w:lineRule="exact"/>
        <w:ind w:firstLineChars="200" w:firstLine="593"/>
        <w:rPr>
          <w:rFonts w:ascii="仿宋_GB2312"/>
          <w:b/>
          <w:szCs w:val="32"/>
        </w:rPr>
      </w:pPr>
    </w:p>
    <w:p w:rsidR="00231999" w:rsidRDefault="00EC3E97" w:rsidP="008A5A76">
      <w:pPr>
        <w:topLinePunct/>
        <w:ind w:firstLineChars="200" w:firstLine="593"/>
        <w:rPr>
          <w:rFonts w:ascii="黑体" w:eastAsia="黑体"/>
          <w:szCs w:val="32"/>
        </w:rPr>
      </w:pPr>
      <w:r>
        <w:rPr>
          <w:rFonts w:ascii="黑体" w:eastAsia="黑体" w:hint="eastAsia"/>
          <w:szCs w:val="32"/>
        </w:rPr>
        <w:t>一、项目基本情况</w:t>
      </w:r>
    </w:p>
    <w:p w:rsidR="00231999" w:rsidRDefault="00EC3E97" w:rsidP="008A5A76">
      <w:pPr>
        <w:topLinePunct/>
        <w:ind w:firstLineChars="200" w:firstLine="593"/>
        <w:rPr>
          <w:rFonts w:ascii="仿宋_GB2312"/>
          <w:szCs w:val="32"/>
        </w:rPr>
      </w:pPr>
      <w:r>
        <w:rPr>
          <w:rFonts w:ascii="仿宋_GB2312" w:hint="eastAsia"/>
          <w:szCs w:val="32"/>
        </w:rPr>
        <w:t>（一）项目基本情况简介，包括项目基本性质、用途和主要内容、涉及范围等。</w:t>
      </w:r>
    </w:p>
    <w:p w:rsidR="008A5A76" w:rsidRDefault="008A5A76" w:rsidP="008A5A76">
      <w:pPr>
        <w:topLinePunct/>
        <w:ind w:firstLineChars="200" w:firstLine="593"/>
        <w:rPr>
          <w:rFonts w:ascii="仿宋_GB2312"/>
          <w:szCs w:val="32"/>
        </w:rPr>
      </w:pPr>
      <w:r>
        <w:rPr>
          <w:rFonts w:ascii="仿宋_GB2312" w:hint="eastAsia"/>
          <w:szCs w:val="32"/>
        </w:rPr>
        <w:t>区总工会项目预算5个，实际完成5个，其中</w:t>
      </w:r>
      <w:r w:rsidRPr="008A5A76">
        <w:rPr>
          <w:rFonts w:ascii="仿宋_GB2312" w:hint="eastAsia"/>
          <w:szCs w:val="32"/>
        </w:rPr>
        <w:t>送温暖经费</w:t>
      </w:r>
      <w:r>
        <w:rPr>
          <w:rFonts w:ascii="仿宋_GB2312" w:hint="eastAsia"/>
          <w:szCs w:val="32"/>
        </w:rPr>
        <w:t>6万元，主要用于帮扶中心针对特困需要救助人员的经费，根据实际情况，每年救助人员都不一样，有医疗救助，有特困救助，有关爱救助等，资金每年基本使用完成。项目</w:t>
      </w:r>
      <w:r w:rsidRPr="008A5A76">
        <w:rPr>
          <w:rFonts w:ascii="仿宋_GB2312" w:hint="eastAsia"/>
          <w:szCs w:val="32"/>
        </w:rPr>
        <w:t>办公租金</w:t>
      </w:r>
      <w:r>
        <w:rPr>
          <w:rFonts w:ascii="仿宋_GB2312" w:hint="eastAsia"/>
          <w:szCs w:val="32"/>
        </w:rPr>
        <w:t>直接支付给春融公司房租，按年支付完成。项目</w:t>
      </w:r>
      <w:r w:rsidRPr="008A5A76">
        <w:rPr>
          <w:rFonts w:ascii="仿宋_GB2312" w:hint="eastAsia"/>
          <w:szCs w:val="32"/>
        </w:rPr>
        <w:t>劳模体检费</w:t>
      </w:r>
      <w:r>
        <w:rPr>
          <w:rFonts w:ascii="仿宋_GB2312" w:hint="eastAsia"/>
          <w:szCs w:val="32"/>
        </w:rPr>
        <w:t>，全区劳模二年一次体检，2018年安排体检，关爱劳模身体健康开展的一次关爱活动；项目</w:t>
      </w:r>
      <w:r w:rsidRPr="008A5A76">
        <w:rPr>
          <w:rFonts w:ascii="仿宋_GB2312" w:hint="eastAsia"/>
          <w:szCs w:val="32"/>
        </w:rPr>
        <w:t>劳动竞赛经费</w:t>
      </w:r>
      <w:r>
        <w:rPr>
          <w:rFonts w:ascii="仿宋_GB2312" w:hint="eastAsia"/>
          <w:szCs w:val="32"/>
        </w:rPr>
        <w:t>，是每年区工会组织全区基层工会进行技能竟赛活动的经费，提升全区劳动人员积极性，团结基层工会的有意义的活动；项目</w:t>
      </w:r>
      <w:r w:rsidRPr="008A5A76">
        <w:rPr>
          <w:rFonts w:ascii="仿宋_GB2312" w:hint="eastAsia"/>
          <w:szCs w:val="32"/>
        </w:rPr>
        <w:t>三中心工作经费</w:t>
      </w:r>
      <w:r>
        <w:rPr>
          <w:rFonts w:ascii="仿宋_GB2312" w:hint="eastAsia"/>
          <w:szCs w:val="32"/>
        </w:rPr>
        <w:t>，主要是政务服务大厅窗口帮扶中心日常办公经费。</w:t>
      </w:r>
    </w:p>
    <w:p w:rsidR="00231999" w:rsidRDefault="00EC3E97" w:rsidP="008A5A76">
      <w:pPr>
        <w:topLinePunct/>
        <w:ind w:firstLineChars="200" w:firstLine="593"/>
        <w:rPr>
          <w:rFonts w:ascii="仿宋_GB2312"/>
          <w:szCs w:val="32"/>
        </w:rPr>
      </w:pPr>
      <w:r>
        <w:rPr>
          <w:rFonts w:ascii="仿宋_GB2312" w:hint="eastAsia"/>
          <w:szCs w:val="32"/>
        </w:rPr>
        <w:t>（二）绩效目标设定及指标完成情况。</w:t>
      </w:r>
    </w:p>
    <w:p w:rsidR="008A5A76" w:rsidRDefault="008A5A76" w:rsidP="008A5A76">
      <w:pPr>
        <w:topLinePunct/>
        <w:ind w:firstLineChars="200" w:firstLine="593"/>
        <w:rPr>
          <w:rFonts w:ascii="仿宋_GB2312"/>
          <w:szCs w:val="32"/>
        </w:rPr>
      </w:pPr>
      <w:r>
        <w:rPr>
          <w:rFonts w:ascii="仿宋_GB2312" w:hint="eastAsia"/>
          <w:szCs w:val="32"/>
        </w:rPr>
        <w:t>区总工会5个项目，目标明确，职能分工清晰，2018年完成目标，完成率为100%。</w:t>
      </w:r>
    </w:p>
    <w:p w:rsidR="00231999" w:rsidRDefault="00EC3E97" w:rsidP="008A5A76">
      <w:pPr>
        <w:topLinePunct/>
        <w:ind w:firstLineChars="200" w:firstLine="593"/>
        <w:rPr>
          <w:rFonts w:ascii="黑体" w:eastAsia="黑体"/>
          <w:szCs w:val="32"/>
        </w:rPr>
      </w:pPr>
      <w:r>
        <w:rPr>
          <w:rFonts w:ascii="黑体" w:eastAsia="黑体" w:hint="eastAsia"/>
          <w:szCs w:val="32"/>
        </w:rPr>
        <w:t>二、项目资金使用及管理情况</w:t>
      </w:r>
    </w:p>
    <w:p w:rsidR="00231999" w:rsidRDefault="00EC3E97" w:rsidP="008A5A76">
      <w:pPr>
        <w:topLinePunct/>
        <w:ind w:firstLineChars="200" w:firstLine="593"/>
        <w:rPr>
          <w:rFonts w:ascii="仿宋_GB2312" w:hAnsi="仿宋_GB2312" w:cs="仿宋_GB2312"/>
          <w:szCs w:val="32"/>
        </w:rPr>
      </w:pPr>
      <w:r>
        <w:rPr>
          <w:rFonts w:ascii="仿宋_GB2312" w:hAnsi="仿宋_GB2312" w:cs="仿宋_GB2312" w:hint="eastAsia"/>
          <w:szCs w:val="32"/>
        </w:rPr>
        <w:t>项目资金（包括公共财政预算资金、政府性基金、财政专户资金、自筹资金等）安排落实、总投入等情况分析。项目资金（主</w:t>
      </w:r>
      <w:r>
        <w:rPr>
          <w:rFonts w:ascii="仿宋_GB2312" w:hAnsi="仿宋_GB2312" w:cs="仿宋_GB2312" w:hint="eastAsia"/>
          <w:szCs w:val="32"/>
        </w:rPr>
        <w:lastRenderedPageBreak/>
        <w:t>要是指财政拨款）实际使用情况分析。项目资金管理情况（包括管理制度、办法的制订及执行情况）分析。</w:t>
      </w:r>
    </w:p>
    <w:p w:rsidR="008A5A76" w:rsidRDefault="008A5A76" w:rsidP="008A5A76">
      <w:pPr>
        <w:topLinePunct/>
        <w:ind w:firstLineChars="200" w:firstLine="593"/>
        <w:rPr>
          <w:rFonts w:ascii="仿宋_GB2312" w:hAnsi="仿宋_GB2312" w:cs="仿宋_GB2312"/>
          <w:szCs w:val="32"/>
        </w:rPr>
      </w:pPr>
      <w:r>
        <w:rPr>
          <w:rFonts w:ascii="仿宋_GB2312" w:hAnsi="仿宋_GB2312" w:cs="仿宋_GB2312" w:hint="eastAsia"/>
          <w:szCs w:val="32"/>
        </w:rPr>
        <w:t>区总工会资金全部为一般公共预算财政</w:t>
      </w:r>
      <w:r w:rsidR="008272A0">
        <w:rPr>
          <w:rFonts w:ascii="仿宋_GB2312" w:hAnsi="仿宋_GB2312" w:cs="仿宋_GB2312" w:hint="eastAsia"/>
          <w:szCs w:val="32"/>
        </w:rPr>
        <w:t>拨</w:t>
      </w:r>
      <w:r>
        <w:rPr>
          <w:rFonts w:ascii="仿宋_GB2312" w:hAnsi="仿宋_GB2312" w:cs="仿宋_GB2312" w:hint="eastAsia"/>
          <w:szCs w:val="32"/>
        </w:rPr>
        <w:t>款，2018年总投入项目经费</w:t>
      </w:r>
      <w:r w:rsidRPr="008A5A76">
        <w:rPr>
          <w:rFonts w:ascii="仿宋_GB2312" w:hAnsi="仿宋_GB2312" w:cs="仿宋_GB2312"/>
          <w:szCs w:val="32"/>
        </w:rPr>
        <w:t>535,184.00</w:t>
      </w:r>
      <w:r>
        <w:rPr>
          <w:rFonts w:ascii="仿宋_GB2312" w:hAnsi="仿宋_GB2312" w:cs="仿宋_GB2312" w:hint="eastAsia"/>
          <w:szCs w:val="32"/>
        </w:rPr>
        <w:t>元，由5个项目构成，每个项目实施开展按照年初预算项目负责人开展实施，根据财务制度，项目管理办法等严格参照财政要求实施与执行。</w:t>
      </w:r>
    </w:p>
    <w:p w:rsidR="00231999" w:rsidRDefault="00EC3E97" w:rsidP="008A5A76">
      <w:pPr>
        <w:topLinePunct/>
        <w:ind w:firstLineChars="200" w:firstLine="593"/>
        <w:rPr>
          <w:rFonts w:ascii="黑体" w:eastAsia="黑体"/>
          <w:szCs w:val="32"/>
        </w:rPr>
      </w:pPr>
      <w:r>
        <w:rPr>
          <w:rFonts w:ascii="黑体" w:eastAsia="黑体" w:hint="eastAsia"/>
          <w:szCs w:val="32"/>
        </w:rPr>
        <w:t>三、项目组织实施情况</w:t>
      </w:r>
    </w:p>
    <w:p w:rsidR="00231999" w:rsidRDefault="00EC3E97" w:rsidP="008A5A76">
      <w:pPr>
        <w:topLinePunct/>
        <w:ind w:firstLineChars="200" w:firstLine="593"/>
        <w:rPr>
          <w:rFonts w:ascii="仿宋_GB2312" w:hAnsi="仿宋_GB2312" w:cs="仿宋_GB2312"/>
          <w:szCs w:val="32"/>
        </w:rPr>
      </w:pPr>
      <w:r>
        <w:rPr>
          <w:rFonts w:ascii="仿宋_GB2312" w:hAnsi="仿宋_GB2312" w:cs="仿宋_GB2312" w:hint="eastAsia"/>
          <w:szCs w:val="32"/>
        </w:rPr>
        <w:t>项目组织情况分析，主要包括项目前期准备、招投标、调整、竣工验收等情况。项目管理情况分析，主要包括项目管理制度、办法的制订、日常检查监督管理等情况。</w:t>
      </w:r>
    </w:p>
    <w:p w:rsidR="008A5A76" w:rsidRDefault="00475499" w:rsidP="008A5A76">
      <w:pPr>
        <w:topLinePunct/>
        <w:ind w:firstLineChars="200" w:firstLine="593"/>
        <w:rPr>
          <w:rFonts w:ascii="仿宋_GB2312"/>
          <w:szCs w:val="32"/>
        </w:rPr>
      </w:pPr>
      <w:r>
        <w:rPr>
          <w:rFonts w:ascii="仿宋_GB2312" w:hAnsi="仿宋_GB2312" w:cs="仿宋_GB2312" w:hint="eastAsia"/>
          <w:szCs w:val="32"/>
        </w:rPr>
        <w:t>区总工会项目比较单一，不涉行工程类项目，未开展招投标等。</w:t>
      </w:r>
      <w:r w:rsidR="00594B43">
        <w:rPr>
          <w:rFonts w:ascii="仿宋_GB2312" w:hAnsi="仿宋_GB2312" w:cs="仿宋_GB2312" w:hint="eastAsia"/>
          <w:szCs w:val="32"/>
        </w:rPr>
        <w:t>项目的开展由项目负责人主导，办公室协助，财务室监督等配合管理，相关活动开展上报区委区政府及财政批复后进行。</w:t>
      </w:r>
    </w:p>
    <w:p w:rsidR="00231999" w:rsidRDefault="00EC3E97" w:rsidP="008A5A76">
      <w:pPr>
        <w:topLinePunct/>
        <w:ind w:firstLineChars="200" w:firstLine="593"/>
        <w:rPr>
          <w:rFonts w:ascii="黑体" w:eastAsia="黑体"/>
          <w:szCs w:val="32"/>
        </w:rPr>
      </w:pPr>
      <w:r>
        <w:rPr>
          <w:rFonts w:ascii="黑体" w:eastAsia="黑体" w:hint="eastAsia"/>
          <w:szCs w:val="32"/>
        </w:rPr>
        <w:t>四、项目绩效情况</w:t>
      </w:r>
    </w:p>
    <w:p w:rsidR="00231999" w:rsidRDefault="00EC3E97" w:rsidP="008A5A76">
      <w:pPr>
        <w:topLinePunct/>
        <w:ind w:firstLineChars="200" w:firstLine="593"/>
        <w:rPr>
          <w:rFonts w:ascii="仿宋_GB2312"/>
          <w:szCs w:val="32"/>
        </w:rPr>
      </w:pPr>
      <w:r>
        <w:rPr>
          <w:rFonts w:ascii="仿宋_GB2312" w:hint="eastAsia"/>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rsidR="00594B43" w:rsidRDefault="00594B43" w:rsidP="008A5A76">
      <w:pPr>
        <w:topLinePunct/>
        <w:ind w:firstLineChars="200" w:firstLine="593"/>
        <w:rPr>
          <w:rFonts w:ascii="仿宋_GB2312"/>
          <w:szCs w:val="32"/>
        </w:rPr>
      </w:pPr>
      <w:r>
        <w:rPr>
          <w:rFonts w:ascii="仿宋_GB2312" w:hint="eastAsia"/>
          <w:szCs w:val="32"/>
        </w:rPr>
        <w:t>区总工会项目持续性强，每年开展，对社会有一定的影响，</w:t>
      </w:r>
      <w:r>
        <w:rPr>
          <w:rFonts w:ascii="仿宋_GB2312" w:hint="eastAsia"/>
          <w:szCs w:val="32"/>
        </w:rPr>
        <w:lastRenderedPageBreak/>
        <w:t>根据资金使用情况，对项目的质量进行严格把关，让项目达到应用的效果。</w:t>
      </w:r>
    </w:p>
    <w:p w:rsidR="00231999" w:rsidRDefault="00EC3E97" w:rsidP="008A5A76">
      <w:pPr>
        <w:topLinePunct/>
        <w:ind w:firstLineChars="200" w:firstLine="593"/>
        <w:rPr>
          <w:rFonts w:ascii="黑体" w:eastAsia="黑体"/>
          <w:szCs w:val="32"/>
        </w:rPr>
      </w:pPr>
      <w:r>
        <w:rPr>
          <w:rFonts w:ascii="黑体" w:eastAsia="黑体" w:hint="eastAsia"/>
          <w:szCs w:val="32"/>
        </w:rPr>
        <w:t>五、存在的问题</w:t>
      </w:r>
    </w:p>
    <w:p w:rsidR="00231999" w:rsidRDefault="00EC3E97" w:rsidP="008A5A76">
      <w:pPr>
        <w:topLinePunct/>
        <w:ind w:firstLineChars="200" w:firstLine="593"/>
        <w:rPr>
          <w:rFonts w:ascii="仿宋_GB2312"/>
          <w:szCs w:val="32"/>
        </w:rPr>
      </w:pPr>
      <w:r>
        <w:rPr>
          <w:rFonts w:ascii="仿宋_GB2312" w:hint="eastAsia"/>
          <w:szCs w:val="32"/>
        </w:rPr>
        <w:t>（一）专项管理方面的问题。专项立项依据是否充分；是否有资金管理办法，资金管理办法是否规范等。</w:t>
      </w:r>
    </w:p>
    <w:p w:rsidR="00594B43" w:rsidRDefault="00594B43" w:rsidP="008A5A76">
      <w:pPr>
        <w:topLinePunct/>
        <w:ind w:firstLineChars="200" w:firstLine="593"/>
        <w:rPr>
          <w:rFonts w:ascii="仿宋_GB2312"/>
          <w:szCs w:val="32"/>
        </w:rPr>
      </w:pPr>
      <w:r>
        <w:rPr>
          <w:rFonts w:ascii="仿宋_GB2312" w:hint="eastAsia"/>
          <w:szCs w:val="32"/>
        </w:rPr>
        <w:t>专项管理方面专项立项依据充分；有资金管理办法，资金管理办法规范。</w:t>
      </w:r>
    </w:p>
    <w:p w:rsidR="00231999" w:rsidRDefault="00EC3E97" w:rsidP="008A5A76">
      <w:pPr>
        <w:topLinePunct/>
        <w:ind w:firstLineChars="200" w:firstLine="593"/>
        <w:rPr>
          <w:rFonts w:ascii="仿宋_GB2312"/>
          <w:szCs w:val="32"/>
        </w:rPr>
      </w:pPr>
      <w:r>
        <w:rPr>
          <w:rFonts w:ascii="仿宋_GB2312" w:hint="eastAsia"/>
          <w:szCs w:val="32"/>
        </w:rPr>
        <w:t>（二）资金分配方面的问题。资金分配是否合理，突出重点，公平公正；有无散小差现象；资金分配和使用方向是否与资金管理办法相符等。</w:t>
      </w:r>
    </w:p>
    <w:p w:rsidR="009640AE" w:rsidRDefault="009640AE" w:rsidP="008A5A76">
      <w:pPr>
        <w:topLinePunct/>
        <w:ind w:firstLineChars="200" w:firstLine="593"/>
        <w:rPr>
          <w:rFonts w:ascii="仿宋_GB2312"/>
          <w:szCs w:val="32"/>
        </w:rPr>
      </w:pPr>
      <w:r>
        <w:rPr>
          <w:rFonts w:ascii="仿宋_GB2312" w:hint="eastAsia"/>
          <w:szCs w:val="32"/>
        </w:rPr>
        <w:t>资金分配方面资金分配合理，突出重点，公平公正；无散小差现象；资金分配和使用方向与资金管理办法相符。</w:t>
      </w:r>
    </w:p>
    <w:p w:rsidR="00231999" w:rsidRDefault="00EC3E97" w:rsidP="008A5A76">
      <w:pPr>
        <w:topLinePunct/>
        <w:ind w:firstLineChars="200" w:firstLine="593"/>
        <w:rPr>
          <w:rFonts w:ascii="仿宋_GB2312"/>
          <w:szCs w:val="32"/>
        </w:rPr>
      </w:pPr>
      <w:r>
        <w:rPr>
          <w:rFonts w:ascii="仿宋_GB2312" w:hint="eastAsia"/>
          <w:szCs w:val="32"/>
        </w:rPr>
        <w:t>（三）资金拨付方</w:t>
      </w:r>
      <w:bookmarkStart w:id="0" w:name="_GoBack"/>
      <w:bookmarkEnd w:id="0"/>
      <w:r>
        <w:rPr>
          <w:rFonts w:ascii="仿宋_GB2312" w:hint="eastAsia"/>
          <w:szCs w:val="32"/>
        </w:rPr>
        <w:t>面的问题。拨付是否及时，有无滞留、闲置等现象。</w:t>
      </w:r>
    </w:p>
    <w:p w:rsidR="00EC3E97" w:rsidRDefault="00EC3E97" w:rsidP="008A5A76">
      <w:pPr>
        <w:topLinePunct/>
        <w:ind w:firstLineChars="200" w:firstLine="593"/>
        <w:rPr>
          <w:rFonts w:ascii="仿宋_GB2312"/>
          <w:szCs w:val="32"/>
        </w:rPr>
      </w:pPr>
      <w:r>
        <w:rPr>
          <w:rFonts w:ascii="仿宋_GB2312" w:hint="eastAsia"/>
          <w:szCs w:val="32"/>
        </w:rPr>
        <w:t>资金拨付方面拨付及时，无滞留、闲置等现象。</w:t>
      </w:r>
    </w:p>
    <w:p w:rsidR="00231999" w:rsidRDefault="00EC3E97" w:rsidP="008A5A76">
      <w:pPr>
        <w:topLinePunct/>
        <w:ind w:firstLineChars="200" w:firstLine="593"/>
        <w:rPr>
          <w:rFonts w:ascii="仿宋_GB2312"/>
          <w:szCs w:val="32"/>
        </w:rPr>
      </w:pPr>
      <w:r>
        <w:rPr>
          <w:rFonts w:ascii="仿宋_GB2312" w:hint="eastAsia"/>
          <w:szCs w:val="32"/>
        </w:rPr>
        <w:t>（四）资金使用方面的问题。资金使用是否合规，有无截留、挪用等现象，资金使用是否产生效益等。</w:t>
      </w:r>
    </w:p>
    <w:p w:rsidR="00EC3E97" w:rsidRDefault="00EC3E97" w:rsidP="008A5A76">
      <w:pPr>
        <w:topLinePunct/>
        <w:ind w:firstLineChars="200" w:firstLine="593"/>
        <w:rPr>
          <w:rFonts w:ascii="仿宋_GB2312"/>
          <w:szCs w:val="32"/>
        </w:rPr>
      </w:pPr>
      <w:r>
        <w:rPr>
          <w:rFonts w:ascii="仿宋_GB2312" w:hint="eastAsia"/>
          <w:szCs w:val="32"/>
        </w:rPr>
        <w:t>资金使用方面资金使用合规，无截留、挪用等现象，资金使用是对经济产生间接效益等。</w:t>
      </w:r>
    </w:p>
    <w:p w:rsidR="00231999" w:rsidRDefault="00EC3E97" w:rsidP="008A5A76">
      <w:pPr>
        <w:topLinePunct/>
        <w:ind w:firstLineChars="200" w:firstLine="593"/>
        <w:rPr>
          <w:rFonts w:ascii="黑体" w:eastAsia="黑体"/>
          <w:szCs w:val="32"/>
        </w:rPr>
      </w:pPr>
      <w:r>
        <w:rPr>
          <w:rFonts w:ascii="黑体" w:eastAsia="黑体" w:hint="eastAsia"/>
          <w:szCs w:val="32"/>
        </w:rPr>
        <w:t>六、其他需要说明的问题</w:t>
      </w:r>
    </w:p>
    <w:p w:rsidR="00EC3E97" w:rsidRDefault="00EC3E97" w:rsidP="008A5A76">
      <w:pPr>
        <w:topLinePunct/>
        <w:ind w:firstLineChars="200" w:firstLine="593"/>
        <w:rPr>
          <w:rFonts w:ascii="黑体" w:eastAsia="黑体"/>
          <w:szCs w:val="32"/>
        </w:rPr>
      </w:pPr>
      <w:r>
        <w:rPr>
          <w:rFonts w:ascii="黑体" w:eastAsia="黑体" w:hint="eastAsia"/>
          <w:szCs w:val="32"/>
        </w:rPr>
        <w:t>无</w:t>
      </w:r>
    </w:p>
    <w:p w:rsidR="00231999" w:rsidRPr="00EC3E97" w:rsidRDefault="00EC3E97" w:rsidP="00EC3E97">
      <w:pPr>
        <w:pStyle w:val="a3"/>
        <w:numPr>
          <w:ilvl w:val="0"/>
          <w:numId w:val="1"/>
        </w:numPr>
        <w:topLinePunct/>
        <w:ind w:firstLineChars="0"/>
        <w:rPr>
          <w:rFonts w:ascii="仿宋_GB2312"/>
          <w:szCs w:val="32"/>
        </w:rPr>
      </w:pPr>
      <w:r w:rsidRPr="00EC3E97">
        <w:rPr>
          <w:rFonts w:ascii="仿宋_GB2312" w:hint="eastAsia"/>
          <w:szCs w:val="32"/>
        </w:rPr>
        <w:t>后续工作计划。</w:t>
      </w:r>
    </w:p>
    <w:p w:rsidR="00EC3E97" w:rsidRPr="00EC3E97" w:rsidRDefault="00EC3E97" w:rsidP="00EC3E97">
      <w:pPr>
        <w:pStyle w:val="a3"/>
        <w:topLinePunct/>
        <w:ind w:left="1673" w:firstLineChars="0" w:firstLine="0"/>
        <w:rPr>
          <w:rFonts w:ascii="仿宋_GB2312"/>
          <w:szCs w:val="32"/>
        </w:rPr>
      </w:pPr>
      <w:r>
        <w:rPr>
          <w:rFonts w:ascii="仿宋_GB2312" w:hint="eastAsia"/>
          <w:szCs w:val="32"/>
        </w:rPr>
        <w:lastRenderedPageBreak/>
        <w:t>让劳动竟赛项目越办越有特色，发挥工会的人文主义精神。</w:t>
      </w:r>
    </w:p>
    <w:p w:rsidR="00231999" w:rsidRPr="00EC3E97" w:rsidRDefault="00EC3E97" w:rsidP="00EC3E97">
      <w:pPr>
        <w:pStyle w:val="a3"/>
        <w:numPr>
          <w:ilvl w:val="0"/>
          <w:numId w:val="1"/>
        </w:numPr>
        <w:topLinePunct/>
        <w:ind w:firstLineChars="0"/>
        <w:rPr>
          <w:rFonts w:ascii="仿宋_GB2312"/>
          <w:szCs w:val="32"/>
        </w:rPr>
      </w:pPr>
      <w:r w:rsidRPr="00EC3E97">
        <w:rPr>
          <w:rFonts w:ascii="仿宋_GB2312" w:hint="eastAsia"/>
          <w:szCs w:val="32"/>
        </w:rPr>
        <w:t>主要经验做法、改进措施和有关建议等。</w:t>
      </w:r>
    </w:p>
    <w:p w:rsidR="00EC3E97" w:rsidRDefault="00EC3E97" w:rsidP="00EC3E97">
      <w:pPr>
        <w:topLinePunct/>
        <w:ind w:left="593"/>
        <w:rPr>
          <w:rFonts w:ascii="仿宋_GB2312"/>
          <w:szCs w:val="32"/>
        </w:rPr>
      </w:pPr>
      <w:r>
        <w:rPr>
          <w:rFonts w:ascii="仿宋_GB2312" w:hint="eastAsia"/>
          <w:szCs w:val="32"/>
        </w:rPr>
        <w:t xml:space="preserve">  暂无</w:t>
      </w:r>
    </w:p>
    <w:p w:rsidR="00D6347E" w:rsidRDefault="00D6347E" w:rsidP="00EC3E97">
      <w:pPr>
        <w:topLinePunct/>
        <w:ind w:left="593"/>
        <w:rPr>
          <w:rFonts w:ascii="仿宋_GB2312"/>
          <w:szCs w:val="32"/>
        </w:rPr>
      </w:pPr>
    </w:p>
    <w:p w:rsidR="00D6347E" w:rsidRDefault="00D6347E" w:rsidP="00D6347E">
      <w:pPr>
        <w:topLinePunct/>
        <w:ind w:left="593" w:firstLineChars="1700" w:firstLine="5043"/>
        <w:rPr>
          <w:rFonts w:ascii="仿宋_GB2312"/>
          <w:szCs w:val="32"/>
        </w:rPr>
      </w:pPr>
      <w:r>
        <w:rPr>
          <w:rFonts w:ascii="仿宋_GB2312" w:hint="eastAsia"/>
          <w:szCs w:val="32"/>
        </w:rPr>
        <w:t>昆明市呈贡区总工会</w:t>
      </w:r>
    </w:p>
    <w:p w:rsidR="00D6347E" w:rsidRPr="00EC3E97" w:rsidRDefault="00D6347E" w:rsidP="00D6347E">
      <w:pPr>
        <w:topLinePunct/>
        <w:ind w:left="593" w:firstLineChars="1750" w:firstLine="5191"/>
        <w:rPr>
          <w:rFonts w:ascii="仿宋_GB2312"/>
          <w:szCs w:val="32"/>
        </w:rPr>
      </w:pPr>
      <w:r>
        <w:rPr>
          <w:rFonts w:ascii="仿宋_GB2312" w:hint="eastAsia"/>
          <w:szCs w:val="32"/>
        </w:rPr>
        <w:t>2019.3.29</w:t>
      </w:r>
    </w:p>
    <w:p w:rsidR="00231999" w:rsidRDefault="00231999"/>
    <w:sectPr w:rsidR="00231999" w:rsidSect="00231999">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BBD" w:rsidRDefault="00E27BBD" w:rsidP="00D6347E">
      <w:r>
        <w:separator/>
      </w:r>
    </w:p>
  </w:endnote>
  <w:endnote w:type="continuationSeparator" w:id="1">
    <w:p w:rsidR="00E27BBD" w:rsidRDefault="00E27BBD" w:rsidP="00D63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BBD" w:rsidRDefault="00E27BBD" w:rsidP="00D6347E">
      <w:r>
        <w:separator/>
      </w:r>
    </w:p>
  </w:footnote>
  <w:footnote w:type="continuationSeparator" w:id="1">
    <w:p w:rsidR="00E27BBD" w:rsidRDefault="00E27BBD" w:rsidP="00D63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C0F33"/>
    <w:multiLevelType w:val="hybridMultilevel"/>
    <w:tmpl w:val="F466B07C"/>
    <w:lvl w:ilvl="0" w:tplc="B3E49FFC">
      <w:start w:val="1"/>
      <w:numFmt w:val="japaneseCounting"/>
      <w:lvlText w:val="（%1）"/>
      <w:lvlJc w:val="left"/>
      <w:pPr>
        <w:ind w:left="1673" w:hanging="1080"/>
      </w:pPr>
      <w:rPr>
        <w:rFonts w:hint="default"/>
      </w:rPr>
    </w:lvl>
    <w:lvl w:ilvl="1" w:tplc="04090019" w:tentative="1">
      <w:start w:val="1"/>
      <w:numFmt w:val="lowerLetter"/>
      <w:lvlText w:val="%2)"/>
      <w:lvlJc w:val="left"/>
      <w:pPr>
        <w:ind w:left="1433" w:hanging="420"/>
      </w:pPr>
    </w:lvl>
    <w:lvl w:ilvl="2" w:tplc="0409001B" w:tentative="1">
      <w:start w:val="1"/>
      <w:numFmt w:val="lowerRoman"/>
      <w:lvlText w:val="%3."/>
      <w:lvlJc w:val="right"/>
      <w:pPr>
        <w:ind w:left="1853" w:hanging="420"/>
      </w:pPr>
    </w:lvl>
    <w:lvl w:ilvl="3" w:tplc="0409000F" w:tentative="1">
      <w:start w:val="1"/>
      <w:numFmt w:val="decimal"/>
      <w:lvlText w:val="%4."/>
      <w:lvlJc w:val="left"/>
      <w:pPr>
        <w:ind w:left="2273" w:hanging="420"/>
      </w:pPr>
    </w:lvl>
    <w:lvl w:ilvl="4" w:tplc="04090019" w:tentative="1">
      <w:start w:val="1"/>
      <w:numFmt w:val="lowerLetter"/>
      <w:lvlText w:val="%5)"/>
      <w:lvlJc w:val="left"/>
      <w:pPr>
        <w:ind w:left="2693" w:hanging="420"/>
      </w:pPr>
    </w:lvl>
    <w:lvl w:ilvl="5" w:tplc="0409001B" w:tentative="1">
      <w:start w:val="1"/>
      <w:numFmt w:val="lowerRoman"/>
      <w:lvlText w:val="%6."/>
      <w:lvlJc w:val="right"/>
      <w:pPr>
        <w:ind w:left="3113" w:hanging="420"/>
      </w:pPr>
    </w:lvl>
    <w:lvl w:ilvl="6" w:tplc="0409000F" w:tentative="1">
      <w:start w:val="1"/>
      <w:numFmt w:val="decimal"/>
      <w:lvlText w:val="%7."/>
      <w:lvlJc w:val="left"/>
      <w:pPr>
        <w:ind w:left="3533" w:hanging="420"/>
      </w:pPr>
    </w:lvl>
    <w:lvl w:ilvl="7" w:tplc="04090019" w:tentative="1">
      <w:start w:val="1"/>
      <w:numFmt w:val="lowerLetter"/>
      <w:lvlText w:val="%8)"/>
      <w:lvlJc w:val="left"/>
      <w:pPr>
        <w:ind w:left="3953" w:hanging="420"/>
      </w:pPr>
    </w:lvl>
    <w:lvl w:ilvl="8" w:tplc="0409001B" w:tentative="1">
      <w:start w:val="1"/>
      <w:numFmt w:val="lowerRoman"/>
      <w:lvlText w:val="%9."/>
      <w:lvlJc w:val="right"/>
      <w:pPr>
        <w:ind w:left="437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48"/>
  <w:drawingGridVerticalSpacing w:val="304"/>
  <w:displayHorizontalDrawingGridEvery w:val="2"/>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1999"/>
    <w:rsid w:val="000F4400"/>
    <w:rsid w:val="00231999"/>
    <w:rsid w:val="003D38D5"/>
    <w:rsid w:val="00475499"/>
    <w:rsid w:val="00594B43"/>
    <w:rsid w:val="008272A0"/>
    <w:rsid w:val="008A5A76"/>
    <w:rsid w:val="009640AE"/>
    <w:rsid w:val="00A560FD"/>
    <w:rsid w:val="00D6347E"/>
    <w:rsid w:val="00E27BBD"/>
    <w:rsid w:val="00EC3E97"/>
    <w:rsid w:val="05AE36CA"/>
    <w:rsid w:val="378A5996"/>
    <w:rsid w:val="5A3C6978"/>
    <w:rsid w:val="676008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1999"/>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EC3E97"/>
    <w:pPr>
      <w:ind w:firstLineChars="200" w:firstLine="420"/>
    </w:pPr>
  </w:style>
  <w:style w:type="paragraph" w:styleId="a4">
    <w:name w:val="header"/>
    <w:basedOn w:val="a"/>
    <w:link w:val="Char"/>
    <w:rsid w:val="00D63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6347E"/>
    <w:rPr>
      <w:rFonts w:eastAsia="仿宋_GB2312"/>
      <w:kern w:val="2"/>
      <w:sz w:val="18"/>
      <w:szCs w:val="18"/>
    </w:rPr>
  </w:style>
  <w:style w:type="paragraph" w:styleId="a5">
    <w:name w:val="footer"/>
    <w:basedOn w:val="a"/>
    <w:link w:val="Char0"/>
    <w:rsid w:val="00D6347E"/>
    <w:pPr>
      <w:tabs>
        <w:tab w:val="center" w:pos="4153"/>
        <w:tab w:val="right" w:pos="8306"/>
      </w:tabs>
      <w:snapToGrid w:val="0"/>
      <w:jc w:val="left"/>
    </w:pPr>
    <w:rPr>
      <w:sz w:val="18"/>
      <w:szCs w:val="18"/>
    </w:rPr>
  </w:style>
  <w:style w:type="character" w:customStyle="1" w:styleId="Char0">
    <w:name w:val="页脚 Char"/>
    <w:basedOn w:val="a0"/>
    <w:link w:val="a5"/>
    <w:rsid w:val="00D6347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lenovo</cp:lastModifiedBy>
  <cp:revision>7</cp:revision>
  <dcterms:created xsi:type="dcterms:W3CDTF">2014-10-29T12:08:00Z</dcterms:created>
  <dcterms:modified xsi:type="dcterms:W3CDTF">2022-01-25T06:59:00Z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