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Cs w:val="32"/>
        </w:rPr>
      </w:pPr>
      <w:r>
        <w:rPr>
          <w:rFonts w:hint="eastAsia" w:ascii="黑体" w:eastAsia="黑体"/>
          <w:szCs w:val="32"/>
        </w:rPr>
        <w:t>附件</w:t>
      </w:r>
      <w:r>
        <w:rPr>
          <w:rFonts w:hint="eastAsia" w:ascii="黑体" w:eastAsia="黑体"/>
          <w:szCs w:val="32"/>
          <w:lang w:val="en-US" w:eastAsia="zh-CN"/>
        </w:rPr>
        <w:t>4-2</w:t>
      </w:r>
      <w:r>
        <w:rPr>
          <w:rFonts w:ascii="黑体" w:eastAsia="黑体"/>
          <w:szCs w:val="32"/>
        </w:rPr>
        <w:t>:</w:t>
      </w:r>
    </w:p>
    <w:p>
      <w:pPr>
        <w:rPr>
          <w:rFonts w:ascii="黑体" w:eastAsia="黑体"/>
          <w:szCs w:val="32"/>
        </w:rPr>
      </w:pPr>
    </w:p>
    <w:p>
      <w:pPr>
        <w:spacing w:line="600" w:lineRule="exact"/>
        <w:jc w:val="center"/>
        <w:rPr>
          <w:rFonts w:ascii="方正小标宋_GBK" w:eastAsia="方正小标宋_GBK"/>
          <w:sz w:val="36"/>
          <w:szCs w:val="36"/>
        </w:rPr>
      </w:pPr>
      <w:r>
        <w:rPr>
          <w:rFonts w:hint="eastAsia" w:ascii="方正小标宋_GBK" w:eastAsia="方正小标宋_GBK"/>
          <w:sz w:val="36"/>
          <w:szCs w:val="36"/>
          <w:lang w:val="en-US" w:eastAsia="zh-CN"/>
        </w:rPr>
        <w:t>区科工信局</w:t>
      </w:r>
      <w:r>
        <w:rPr>
          <w:rFonts w:hint="eastAsia" w:ascii="方正小标宋_GBK" w:eastAsia="方正小标宋_GBK"/>
          <w:sz w:val="36"/>
          <w:szCs w:val="36"/>
        </w:rPr>
        <w:t>项目支出绩效报告</w:t>
      </w:r>
      <w:r>
        <w:rPr>
          <w:rFonts w:hint="eastAsia" w:ascii="方正小标宋_GBK" w:eastAsia="方正小标宋_GBK"/>
          <w:sz w:val="36"/>
          <w:szCs w:val="36"/>
          <w:lang w:eastAsia="zh-CN"/>
        </w:rPr>
        <w:t>（自评）</w:t>
      </w:r>
    </w:p>
    <w:p>
      <w:pPr>
        <w:spacing w:line="600" w:lineRule="exact"/>
        <w:ind w:firstLine="594" w:firstLineChars="200"/>
        <w:rPr>
          <w:rFonts w:ascii="仿宋_GB2312"/>
          <w:b/>
          <w:szCs w:val="32"/>
        </w:rPr>
      </w:pPr>
    </w:p>
    <w:p>
      <w:pPr>
        <w:topLinePunct/>
        <w:ind w:firstLine="594" w:firstLineChars="200"/>
        <w:rPr>
          <w:rFonts w:ascii="黑体" w:eastAsia="黑体"/>
          <w:szCs w:val="32"/>
        </w:rPr>
      </w:pPr>
      <w:r>
        <w:rPr>
          <w:rFonts w:hint="eastAsia" w:ascii="黑体" w:eastAsia="黑体"/>
          <w:szCs w:val="32"/>
        </w:rPr>
        <w:t>一、项目基本情况</w:t>
      </w:r>
    </w:p>
    <w:p>
      <w:pPr>
        <w:topLinePunct/>
        <w:ind w:firstLine="594" w:firstLineChars="200"/>
        <w:rPr>
          <w:rFonts w:hint="eastAsia" w:ascii="仿宋_GB2312"/>
          <w:szCs w:val="32"/>
        </w:rPr>
      </w:pPr>
      <w:r>
        <w:rPr>
          <w:rFonts w:hint="eastAsia" w:ascii="仿宋_GB2312"/>
          <w:szCs w:val="32"/>
        </w:rPr>
        <w:t>（一）项目基本情况简介，包括项目基本性质、用途和主要内容、涉及范围等。</w:t>
      </w:r>
    </w:p>
    <w:p>
      <w:pPr>
        <w:keepNext w:val="0"/>
        <w:keepLines w:val="0"/>
        <w:pageBreakBefore w:val="0"/>
        <w:widowControl w:val="0"/>
        <w:kinsoku/>
        <w:wordWrap/>
        <w:overflowPunct/>
        <w:topLinePunct w:val="0"/>
        <w:autoSpaceDE/>
        <w:autoSpaceDN/>
        <w:bidi w:val="0"/>
        <w:adjustRightInd/>
        <w:snapToGrid/>
        <w:ind w:firstLine="594" w:firstLineChars="200"/>
        <w:jc w:val="both"/>
        <w:textAlignment w:val="auto"/>
        <w:outlineLvl w:val="9"/>
        <w:rPr>
          <w:rFonts w:hint="eastAsia" w:ascii="仿宋_GB2312"/>
          <w:sz w:val="32"/>
          <w:szCs w:val="32"/>
          <w:lang w:val="en-US" w:eastAsia="zh-CN"/>
        </w:rPr>
      </w:pPr>
      <w:r>
        <w:rPr>
          <w:rFonts w:hint="eastAsia" w:ascii="仿宋_GB2312"/>
          <w:sz w:val="32"/>
          <w:szCs w:val="32"/>
          <w:lang w:val="en-US" w:eastAsia="zh-CN"/>
        </w:rPr>
        <w:t>2020年部门预算批复项目16个项目，全年项目经费批复4555.55万元，其中行政文教科批复项目7个，批复金额：3441.95万元，产业科批复9个，批复1113.6万元，产业科批复含上年转移3个项目，转移支付金额16.91万元。</w:t>
      </w:r>
    </w:p>
    <w:p>
      <w:pPr>
        <w:keepNext w:val="0"/>
        <w:keepLines w:val="0"/>
        <w:pageBreakBefore w:val="0"/>
        <w:widowControl w:val="0"/>
        <w:kinsoku/>
        <w:wordWrap/>
        <w:overflowPunct/>
        <w:topLinePunct w:val="0"/>
        <w:autoSpaceDE/>
        <w:autoSpaceDN/>
        <w:bidi w:val="0"/>
        <w:adjustRightInd/>
        <w:snapToGrid/>
        <w:ind w:firstLine="594" w:firstLineChars="200"/>
        <w:jc w:val="both"/>
        <w:textAlignment w:val="auto"/>
        <w:outlineLvl w:val="9"/>
        <w:rPr>
          <w:rFonts w:hint="eastAsia" w:ascii="仿宋_GB2312"/>
          <w:sz w:val="32"/>
          <w:szCs w:val="32"/>
          <w:lang w:val="en-US" w:eastAsia="zh-CN"/>
        </w:rPr>
      </w:pPr>
      <w:r>
        <w:rPr>
          <w:rFonts w:hint="eastAsia" w:ascii="仿宋_GB2312"/>
          <w:sz w:val="32"/>
          <w:szCs w:val="32"/>
          <w:lang w:val="en-US" w:eastAsia="zh-CN"/>
        </w:rPr>
        <w:t>2020年12月31号截止执行项目26个，执行金额2235.42万元，执行率49.07%。区级资金项目执行24个，执行金额2015.42万元，上级转移支付资金执行2个，执行金额为220万元。区级预算批复项目执行15个，有1个项目未执行（智慧城市建设），区级资金调增项目9个，上级转移支付新增项目2个。</w:t>
      </w:r>
    </w:p>
    <w:p>
      <w:pPr>
        <w:keepNext w:val="0"/>
        <w:keepLines w:val="0"/>
        <w:pageBreakBefore w:val="0"/>
        <w:widowControl w:val="0"/>
        <w:kinsoku/>
        <w:wordWrap/>
        <w:overflowPunct/>
        <w:topLinePunct w:val="0"/>
        <w:autoSpaceDE/>
        <w:autoSpaceDN/>
        <w:bidi w:val="0"/>
        <w:adjustRightInd/>
        <w:snapToGrid/>
        <w:ind w:firstLine="594" w:firstLineChars="200"/>
        <w:jc w:val="both"/>
        <w:textAlignment w:val="auto"/>
        <w:outlineLvl w:val="9"/>
        <w:rPr>
          <w:rFonts w:hint="default" w:ascii="仿宋_GB2312" w:eastAsia="仿宋_GB2312"/>
          <w:sz w:val="32"/>
          <w:szCs w:val="32"/>
          <w:lang w:val="en-US" w:eastAsia="zh-CN"/>
        </w:rPr>
      </w:pPr>
      <w:r>
        <w:rPr>
          <w:rFonts w:hint="eastAsia" w:ascii="仿宋_GB2312"/>
          <w:sz w:val="32"/>
          <w:szCs w:val="32"/>
          <w:lang w:val="en-US" w:eastAsia="zh-CN"/>
        </w:rPr>
        <w:t>2020年区级预算批复16个项目，批复金额4555.55万元，实际执行15个，执行金额1245.76万元，执行率27.35%。执行差异较大的原因呈贡区智慧城市建设预算3000万元，未开展，</w:t>
      </w:r>
      <w:r>
        <w:rPr>
          <w:rFonts w:hint="default" w:ascii="Times New Roman" w:hAnsi="Times New Roman" w:eastAsia="仿宋_GB2312" w:cs="Times New Roman"/>
          <w:b w:val="0"/>
          <w:bCs w:val="0"/>
          <w:color w:val="000000"/>
          <w:sz w:val="32"/>
          <w:szCs w:val="32"/>
          <w:highlight w:val="none"/>
          <w:lang w:val="en-US" w:eastAsia="zh-CN"/>
        </w:rPr>
        <w:t>因接到社会各界的反馈意见建议，招标工作暂停开展</w:t>
      </w:r>
      <w:r>
        <w:rPr>
          <w:rFonts w:hint="eastAsia" w:ascii="仿宋_GB2312" w:eastAsia="仿宋_GB2312" w:cs="宋体"/>
          <w:sz w:val="32"/>
          <w:szCs w:val="32"/>
        </w:rPr>
        <w:t>。</w:t>
      </w:r>
      <w:r>
        <w:rPr>
          <w:rFonts w:hint="eastAsia" w:ascii="仿宋_GB2312" w:cs="宋体"/>
          <w:sz w:val="32"/>
          <w:szCs w:val="32"/>
          <w:lang w:val="en-US" w:eastAsia="zh-CN"/>
        </w:rPr>
        <w:t>2020年区级资金调增9个，调增金额769.66万元，因疫情特殊情况与</w:t>
      </w:r>
      <w:r>
        <w:rPr>
          <w:rFonts w:hint="eastAsia" w:ascii="仿宋_GB2312" w:hAnsi="仿宋_GB2312" w:eastAsia="仿宋_GB2312" w:cs="仿宋_GB2312"/>
          <w:b w:val="0"/>
          <w:bCs/>
          <w:color w:val="000000"/>
          <w:kern w:val="0"/>
          <w:sz w:val="32"/>
          <w:szCs w:val="32"/>
          <w:lang w:val="en-US" w:eastAsia="zh-CN"/>
        </w:rPr>
        <w:t>斗南花卉特色小镇创建斗南社区弱电整治</w:t>
      </w:r>
      <w:r>
        <w:rPr>
          <w:rFonts w:hint="eastAsia" w:ascii="仿宋_GB2312" w:hAnsi="仿宋_GB2312" w:cs="仿宋_GB2312"/>
          <w:b w:val="0"/>
          <w:bCs/>
          <w:color w:val="000000"/>
          <w:kern w:val="0"/>
          <w:sz w:val="32"/>
          <w:szCs w:val="32"/>
          <w:lang w:val="en-US" w:eastAsia="zh-CN"/>
        </w:rPr>
        <w:t>。</w:t>
      </w:r>
    </w:p>
    <w:p>
      <w:pPr>
        <w:topLinePunct/>
        <w:ind w:firstLine="594" w:firstLineChars="200"/>
        <w:rPr>
          <w:rFonts w:hint="eastAsia" w:ascii="仿宋_GB2312"/>
          <w:szCs w:val="32"/>
        </w:rPr>
      </w:pPr>
      <w:r>
        <w:rPr>
          <w:rFonts w:hint="eastAsia" w:ascii="仿宋_GB2312"/>
          <w:szCs w:val="32"/>
        </w:rPr>
        <w:t>（二）绩效目标设定及指标完成情况。</w:t>
      </w:r>
    </w:p>
    <w:p>
      <w:pPr>
        <w:topLinePunct/>
        <w:ind w:firstLine="594" w:firstLineChars="200"/>
        <w:rPr>
          <w:rFonts w:hint="eastAsia" w:ascii="仿宋_GB2312"/>
          <w:szCs w:val="32"/>
          <w:lang w:val="en-US" w:eastAsia="zh-CN"/>
        </w:rPr>
      </w:pPr>
      <w:r>
        <w:rPr>
          <w:rFonts w:hint="eastAsia" w:ascii="仿宋_GB2312"/>
          <w:szCs w:val="32"/>
          <w:lang w:val="en-US" w:eastAsia="zh-CN"/>
        </w:rPr>
        <w:t>2020年具体项目设定目标如下：</w:t>
      </w:r>
    </w:p>
    <w:p>
      <w:pPr>
        <w:pStyle w:val="2"/>
        <w:numPr>
          <w:ilvl w:val="0"/>
          <w:numId w:val="1"/>
        </w:numPr>
        <w:rPr>
          <w:rFonts w:hint="eastAsia" w:ascii="仿宋_GB2312"/>
          <w:szCs w:val="32"/>
          <w:lang w:val="en-US" w:eastAsia="zh-CN"/>
        </w:rPr>
      </w:pPr>
      <w:r>
        <w:rPr>
          <w:rFonts w:hint="eastAsia" w:ascii="仿宋_GB2312"/>
          <w:szCs w:val="32"/>
          <w:lang w:val="en-US" w:eastAsia="zh-CN"/>
        </w:rPr>
        <w:t>原工业局自收自支人员工资保险福利年初预算0.72万元，实际执行:0.72万元，执行率100%，主要用于原工业局自收自支人员慰问开支。</w:t>
      </w:r>
    </w:p>
    <w:p>
      <w:pPr>
        <w:pStyle w:val="2"/>
        <w:numPr>
          <w:ilvl w:val="0"/>
          <w:numId w:val="1"/>
        </w:numPr>
        <w:rPr>
          <w:rFonts w:hint="default" w:ascii="仿宋_GB2312"/>
          <w:szCs w:val="32"/>
          <w:lang w:val="en-US" w:eastAsia="zh-CN"/>
        </w:rPr>
      </w:pPr>
      <w:r>
        <w:rPr>
          <w:rFonts w:hint="default" w:ascii="仿宋_GB2312"/>
          <w:szCs w:val="32"/>
          <w:lang w:val="en-US" w:eastAsia="zh-CN"/>
        </w:rPr>
        <w:t>兑现企业奖励扶持资金</w:t>
      </w:r>
      <w:r>
        <w:rPr>
          <w:rFonts w:hint="eastAsia" w:ascii="仿宋_GB2312"/>
          <w:szCs w:val="32"/>
          <w:lang w:val="en-US" w:eastAsia="zh-CN"/>
        </w:rPr>
        <w:t>年初预算150万元，实际执行137万元，执行率为91.33万元，10月预算调减7万元，年终收回额度5万元。资金主要用于</w:t>
      </w:r>
      <w:r>
        <w:rPr>
          <w:rFonts w:hint="default" w:ascii="仿宋_GB2312"/>
          <w:szCs w:val="32"/>
          <w:lang w:val="en-US" w:eastAsia="zh-CN"/>
        </w:rPr>
        <w:t>兑现企业奖励扶持资金</w:t>
      </w:r>
      <w:r>
        <w:rPr>
          <w:rFonts w:hint="eastAsia" w:ascii="仿宋_GB2312"/>
          <w:szCs w:val="32"/>
          <w:lang w:val="en-US" w:eastAsia="zh-CN"/>
        </w:rPr>
        <w:t>。</w:t>
      </w:r>
    </w:p>
    <w:p>
      <w:pPr>
        <w:pStyle w:val="2"/>
        <w:numPr>
          <w:ilvl w:val="0"/>
          <w:numId w:val="1"/>
        </w:numPr>
        <w:rPr>
          <w:rFonts w:hint="default" w:ascii="仿宋_GB2312"/>
          <w:szCs w:val="32"/>
          <w:lang w:val="en-US" w:eastAsia="zh-CN"/>
        </w:rPr>
      </w:pPr>
      <w:r>
        <w:rPr>
          <w:rFonts w:hint="default" w:ascii="仿宋_GB2312"/>
          <w:szCs w:val="32"/>
          <w:lang w:val="en-US" w:eastAsia="zh-CN"/>
        </w:rPr>
        <w:t>兑现涉农小微企业补助资金</w:t>
      </w:r>
      <w:r>
        <w:rPr>
          <w:rFonts w:hint="eastAsia" w:ascii="仿宋_GB2312"/>
          <w:szCs w:val="32"/>
          <w:lang w:val="en-US" w:eastAsia="zh-CN"/>
        </w:rPr>
        <w:t>年初预算90万元，实际执行90万元，执行率100%，主要用于发放涉农小微企业补助。</w:t>
      </w:r>
    </w:p>
    <w:p>
      <w:pPr>
        <w:pStyle w:val="2"/>
        <w:numPr>
          <w:ilvl w:val="0"/>
          <w:numId w:val="1"/>
        </w:numPr>
        <w:rPr>
          <w:rFonts w:hint="default" w:ascii="仿宋_GB2312"/>
          <w:szCs w:val="32"/>
          <w:lang w:val="en-US" w:eastAsia="zh-CN"/>
        </w:rPr>
      </w:pPr>
      <w:r>
        <w:rPr>
          <w:rFonts w:hint="default" w:ascii="仿宋_GB2312"/>
          <w:szCs w:val="32"/>
          <w:lang w:val="en-US" w:eastAsia="zh-CN"/>
        </w:rPr>
        <w:t>区科工信局“十四五”规划编制工作</w:t>
      </w:r>
      <w:r>
        <w:rPr>
          <w:rFonts w:hint="eastAsia" w:ascii="仿宋_GB2312"/>
          <w:szCs w:val="32"/>
          <w:lang w:val="en-US" w:eastAsia="zh-CN"/>
        </w:rPr>
        <w:t>年初预算25万元，实际执行24.95万元，执行率99.8%，节约率0.02%，主要用于编制区科工局十四五规划。</w:t>
      </w:r>
    </w:p>
    <w:p>
      <w:pPr>
        <w:pStyle w:val="2"/>
        <w:numPr>
          <w:ilvl w:val="0"/>
          <w:numId w:val="1"/>
        </w:numPr>
        <w:rPr>
          <w:rFonts w:hint="default" w:ascii="仿宋_GB2312"/>
          <w:szCs w:val="32"/>
          <w:lang w:val="en-US" w:eastAsia="zh-CN"/>
        </w:rPr>
      </w:pPr>
      <w:r>
        <w:rPr>
          <w:rFonts w:hint="default" w:ascii="仿宋_GB2312"/>
          <w:szCs w:val="32"/>
          <w:lang w:val="en-US" w:eastAsia="zh-CN"/>
        </w:rPr>
        <w:t>2020年科技计划后补助项目扶持经费（企业扶持资金）</w:t>
      </w:r>
      <w:r>
        <w:rPr>
          <w:rFonts w:hint="eastAsia" w:ascii="仿宋_GB2312"/>
          <w:szCs w:val="32"/>
          <w:lang w:val="en-US" w:eastAsia="zh-CN"/>
        </w:rPr>
        <w:t>年初预算200万元，实际执行176.69万元，执行率88.35%，主要用于补助科技型企业项目扶持经费。</w:t>
      </w:r>
    </w:p>
    <w:p>
      <w:pPr>
        <w:pStyle w:val="2"/>
        <w:numPr>
          <w:ilvl w:val="0"/>
          <w:numId w:val="1"/>
        </w:numPr>
        <w:rPr>
          <w:rFonts w:hint="default" w:ascii="仿宋_GB2312"/>
          <w:szCs w:val="32"/>
          <w:lang w:val="en-US" w:eastAsia="zh-CN"/>
        </w:rPr>
      </w:pPr>
      <w:r>
        <w:rPr>
          <w:rFonts w:hint="default" w:ascii="仿宋_GB2312"/>
          <w:szCs w:val="32"/>
          <w:lang w:val="en-US" w:eastAsia="zh-CN"/>
        </w:rPr>
        <w:t>兑现2020年呈贡区科技成果转化中心目标责任</w:t>
      </w:r>
      <w:r>
        <w:rPr>
          <w:rFonts w:hint="eastAsia" w:ascii="仿宋_GB2312"/>
          <w:szCs w:val="32"/>
          <w:lang w:val="en-US" w:eastAsia="zh-CN"/>
        </w:rPr>
        <w:t>年初预算40万元，实际执行40万元，执行率100%，主要用于科技成果转化企业目标责任资金。</w:t>
      </w:r>
    </w:p>
    <w:p>
      <w:pPr>
        <w:pStyle w:val="2"/>
        <w:numPr>
          <w:ilvl w:val="0"/>
          <w:numId w:val="1"/>
        </w:numPr>
        <w:rPr>
          <w:rFonts w:hint="default" w:ascii="仿宋_GB2312"/>
          <w:szCs w:val="32"/>
          <w:lang w:val="en-US" w:eastAsia="zh-CN"/>
        </w:rPr>
      </w:pPr>
      <w:r>
        <w:rPr>
          <w:rFonts w:hint="default" w:ascii="仿宋_GB2312"/>
          <w:szCs w:val="32"/>
          <w:lang w:val="en-US" w:eastAsia="zh-CN"/>
        </w:rPr>
        <w:t>推进大众创业万众创新及R&amp;D放管服配套经费</w:t>
      </w:r>
      <w:r>
        <w:rPr>
          <w:rFonts w:hint="eastAsia" w:ascii="仿宋_GB2312"/>
          <w:szCs w:val="32"/>
          <w:lang w:val="en-US" w:eastAsia="zh-CN"/>
        </w:rPr>
        <w:t>年初预算20万元，实际执行10万元，执行率50%，主要用于创新企业奖励资金。</w:t>
      </w:r>
    </w:p>
    <w:p>
      <w:pPr>
        <w:pStyle w:val="2"/>
        <w:numPr>
          <w:ilvl w:val="0"/>
          <w:numId w:val="1"/>
        </w:numPr>
        <w:rPr>
          <w:rFonts w:hint="default" w:ascii="仿宋_GB2312"/>
          <w:szCs w:val="32"/>
          <w:lang w:val="en-US" w:eastAsia="zh-CN"/>
        </w:rPr>
      </w:pPr>
      <w:r>
        <w:rPr>
          <w:rFonts w:hint="default" w:ascii="仿宋_GB2312"/>
          <w:szCs w:val="32"/>
          <w:lang w:val="en-US" w:eastAsia="zh-CN"/>
        </w:rPr>
        <w:t>科技工作经费</w:t>
      </w:r>
      <w:r>
        <w:rPr>
          <w:rFonts w:hint="eastAsia" w:ascii="仿宋_GB2312"/>
          <w:szCs w:val="32"/>
          <w:lang w:val="en-US" w:eastAsia="zh-CN"/>
        </w:rPr>
        <w:t>年初预算3万元，实际执行3万元，执行率100%，主要用于开展各种科技普及工作经费。</w:t>
      </w:r>
    </w:p>
    <w:p>
      <w:pPr>
        <w:pStyle w:val="2"/>
        <w:numPr>
          <w:ilvl w:val="0"/>
          <w:numId w:val="1"/>
        </w:numPr>
        <w:rPr>
          <w:rFonts w:hint="default" w:ascii="仿宋_GB2312"/>
          <w:szCs w:val="32"/>
          <w:lang w:val="en-US" w:eastAsia="zh-CN"/>
        </w:rPr>
      </w:pPr>
      <w:r>
        <w:rPr>
          <w:rFonts w:hint="default" w:ascii="仿宋_GB2312"/>
          <w:szCs w:val="32"/>
          <w:lang w:val="en-US" w:eastAsia="zh-CN"/>
        </w:rPr>
        <w:t>呈贡区信息化管理工作经费</w:t>
      </w:r>
      <w:r>
        <w:rPr>
          <w:rFonts w:hint="eastAsia" w:ascii="仿宋_GB2312"/>
          <w:szCs w:val="32"/>
          <w:lang w:val="en-US" w:eastAsia="zh-CN"/>
        </w:rPr>
        <w:t>年初预算50万元，实际执行21.39万元，执行率42.78%，10月预算调减28.61万元，主要用于全区信息化工作开展管理工作经费。</w:t>
      </w:r>
    </w:p>
    <w:p>
      <w:pPr>
        <w:pStyle w:val="2"/>
        <w:numPr>
          <w:ilvl w:val="0"/>
          <w:numId w:val="1"/>
        </w:numPr>
        <w:rPr>
          <w:rFonts w:hint="default" w:ascii="仿宋_GB2312"/>
          <w:szCs w:val="32"/>
          <w:lang w:val="en-US" w:eastAsia="zh-CN"/>
        </w:rPr>
      </w:pPr>
      <w:r>
        <w:rPr>
          <w:rFonts w:hint="default" w:ascii="仿宋_GB2312"/>
          <w:szCs w:val="32"/>
          <w:lang w:val="en-US" w:eastAsia="zh-CN"/>
        </w:rPr>
        <w:t>区电子政务网租用、软件运维服务和基础网络租赁费</w:t>
      </w:r>
      <w:r>
        <w:rPr>
          <w:rFonts w:hint="eastAsia" w:ascii="仿宋_GB2312"/>
          <w:szCs w:val="32"/>
          <w:lang w:val="en-US" w:eastAsia="zh-CN"/>
        </w:rPr>
        <w:t>年初预算359.94万元，实际执行125.91万元，执行率为34.98%，预算调整234万元，用于其它调增项目使用，主要用于</w:t>
      </w:r>
      <w:r>
        <w:rPr>
          <w:rFonts w:hint="default" w:ascii="仿宋_GB2312"/>
          <w:szCs w:val="32"/>
          <w:lang w:val="en-US" w:eastAsia="zh-CN"/>
        </w:rPr>
        <w:t>区电子政务网租用、软件运维服务和基础网络租赁费</w:t>
      </w:r>
      <w:r>
        <w:rPr>
          <w:rFonts w:hint="eastAsia" w:ascii="仿宋_GB2312"/>
          <w:szCs w:val="32"/>
          <w:lang w:val="en-US" w:eastAsia="zh-CN"/>
        </w:rPr>
        <w:t>。</w:t>
      </w:r>
    </w:p>
    <w:p>
      <w:pPr>
        <w:pStyle w:val="2"/>
        <w:numPr>
          <w:ilvl w:val="0"/>
          <w:numId w:val="1"/>
        </w:numPr>
        <w:rPr>
          <w:rFonts w:hint="default" w:ascii="仿宋_GB2312"/>
          <w:szCs w:val="32"/>
          <w:lang w:val="en-US" w:eastAsia="zh-CN"/>
        </w:rPr>
      </w:pPr>
      <w:r>
        <w:rPr>
          <w:rFonts w:hint="default" w:ascii="仿宋_GB2312"/>
          <w:szCs w:val="32"/>
          <w:lang w:val="en-US" w:eastAsia="zh-CN"/>
        </w:rPr>
        <w:t>“智慧呈贡”机柜及大数据中心租赁服务费</w:t>
      </w:r>
      <w:r>
        <w:rPr>
          <w:rFonts w:hint="eastAsia" w:ascii="仿宋_GB2312"/>
          <w:szCs w:val="32"/>
          <w:lang w:val="en-US" w:eastAsia="zh-CN"/>
        </w:rPr>
        <w:t>年初预算596.69万元，实际执行596.69万元，执行率100%，主要用于</w:t>
      </w:r>
      <w:r>
        <w:rPr>
          <w:rFonts w:hint="default" w:ascii="仿宋_GB2312"/>
          <w:szCs w:val="32"/>
          <w:lang w:val="en-US" w:eastAsia="zh-CN"/>
        </w:rPr>
        <w:t>“智慧呈贡”机柜及大数据中心租赁服务费</w:t>
      </w:r>
      <w:r>
        <w:rPr>
          <w:rFonts w:hint="eastAsia" w:ascii="仿宋_GB2312"/>
          <w:szCs w:val="32"/>
          <w:lang w:val="en-US" w:eastAsia="zh-CN"/>
        </w:rPr>
        <w:t>。</w:t>
      </w:r>
    </w:p>
    <w:p>
      <w:pPr>
        <w:pStyle w:val="2"/>
        <w:numPr>
          <w:ilvl w:val="0"/>
          <w:numId w:val="1"/>
        </w:numPr>
        <w:rPr>
          <w:rFonts w:hint="default" w:ascii="仿宋_GB2312"/>
          <w:szCs w:val="32"/>
          <w:lang w:val="en-US" w:eastAsia="zh-CN"/>
        </w:rPr>
      </w:pPr>
      <w:r>
        <w:rPr>
          <w:rFonts w:hint="default" w:ascii="仿宋_GB2312"/>
          <w:szCs w:val="32"/>
          <w:lang w:val="en-US" w:eastAsia="zh-CN"/>
        </w:rPr>
        <w:t>政府采购</w:t>
      </w:r>
      <w:r>
        <w:rPr>
          <w:rFonts w:hint="eastAsia" w:ascii="仿宋_GB2312"/>
          <w:szCs w:val="32"/>
          <w:lang w:val="en-US" w:eastAsia="zh-CN"/>
        </w:rPr>
        <w:t>年初预算3.29万元，实际执行3.29万元，执行率100%，主要用于采购办公用品一批。</w:t>
      </w:r>
    </w:p>
    <w:p>
      <w:pPr>
        <w:pStyle w:val="2"/>
        <w:numPr>
          <w:ilvl w:val="0"/>
          <w:numId w:val="1"/>
        </w:numPr>
        <w:rPr>
          <w:rFonts w:hint="default" w:ascii="仿宋_GB2312"/>
          <w:szCs w:val="32"/>
          <w:lang w:val="en-US" w:eastAsia="zh-CN"/>
        </w:rPr>
      </w:pPr>
      <w:r>
        <w:rPr>
          <w:rFonts w:hint="eastAsia" w:ascii="仿宋_GB2312"/>
          <w:szCs w:val="32"/>
          <w:lang w:val="en-US" w:eastAsia="zh-CN"/>
        </w:rPr>
        <w:t>呈贡区智慧城市建设年初预算3000万元，实际执行为0元，项目调减3000万元，由于项目暂停。</w:t>
      </w:r>
    </w:p>
    <w:p>
      <w:pPr>
        <w:pStyle w:val="2"/>
        <w:numPr>
          <w:ilvl w:val="0"/>
          <w:numId w:val="1"/>
        </w:numPr>
        <w:rPr>
          <w:rFonts w:hint="default" w:ascii="仿宋_GB2312"/>
          <w:szCs w:val="32"/>
          <w:lang w:val="en-US" w:eastAsia="zh-CN"/>
        </w:rPr>
      </w:pPr>
      <w:r>
        <w:rPr>
          <w:rFonts w:hint="default" w:ascii="仿宋_GB2312"/>
          <w:szCs w:val="32"/>
          <w:lang w:val="en-US" w:eastAsia="zh-CN"/>
        </w:rPr>
        <w:t>应对新冠肺炎疫情支持企业复工复产补助</w:t>
      </w:r>
      <w:r>
        <w:rPr>
          <w:rFonts w:hint="eastAsia" w:ascii="仿宋_GB2312"/>
          <w:szCs w:val="32"/>
          <w:lang w:val="en-US" w:eastAsia="zh-CN"/>
        </w:rPr>
        <w:t>年初无预算，为区政府统筹安排增加项目136.84万元，实际执行136.84万元，执行率100%，后续又追加应对新冠肺炎疫情支持企业复工复产第二批补助61.86万元，主要应对新冠肺炎疫情支持企业复工复产促进经济平稳运行的若干政策措施企业补助。</w:t>
      </w:r>
    </w:p>
    <w:p>
      <w:pPr>
        <w:pStyle w:val="2"/>
        <w:numPr>
          <w:ilvl w:val="0"/>
          <w:numId w:val="1"/>
        </w:numPr>
        <w:rPr>
          <w:rFonts w:hint="default" w:ascii="仿宋_GB2312"/>
          <w:szCs w:val="32"/>
          <w:lang w:val="en-US" w:eastAsia="zh-CN"/>
        </w:rPr>
      </w:pPr>
      <w:r>
        <w:rPr>
          <w:rFonts w:hint="default" w:ascii="仿宋_GB2312"/>
          <w:szCs w:val="32"/>
          <w:lang w:val="en-US" w:eastAsia="zh-CN"/>
        </w:rPr>
        <w:t>新型冠状病毒肺炎防疫物资采购资金</w:t>
      </w:r>
      <w:r>
        <w:rPr>
          <w:rFonts w:hint="eastAsia" w:ascii="仿宋_GB2312"/>
          <w:szCs w:val="32"/>
          <w:lang w:val="en-US" w:eastAsia="zh-CN"/>
        </w:rPr>
        <w:t>为调增项目60.36万元，实际执行60.36万元，执行率100%，主要用于新冠</w:t>
      </w:r>
      <w:r>
        <w:rPr>
          <w:rFonts w:hint="default" w:ascii="仿宋_GB2312"/>
          <w:szCs w:val="32"/>
          <w:lang w:val="en-US" w:eastAsia="zh-CN"/>
        </w:rPr>
        <w:t>肺炎疫情</w:t>
      </w:r>
      <w:r>
        <w:rPr>
          <w:rFonts w:hint="eastAsia" w:ascii="仿宋_GB2312"/>
          <w:szCs w:val="32"/>
          <w:lang w:val="en-US" w:eastAsia="zh-CN"/>
        </w:rPr>
        <w:t>防控物资采购费用。</w:t>
      </w:r>
    </w:p>
    <w:p>
      <w:pPr>
        <w:pStyle w:val="2"/>
        <w:numPr>
          <w:ilvl w:val="0"/>
          <w:numId w:val="1"/>
        </w:numPr>
        <w:rPr>
          <w:rFonts w:hint="default" w:ascii="仿宋_GB2312"/>
          <w:szCs w:val="32"/>
          <w:lang w:val="en-US" w:eastAsia="zh-CN"/>
        </w:rPr>
      </w:pPr>
      <w:r>
        <w:rPr>
          <w:rFonts w:hint="default" w:ascii="仿宋_GB2312"/>
          <w:szCs w:val="32"/>
          <w:lang w:val="en-US" w:eastAsia="zh-CN"/>
        </w:rPr>
        <w:t>呈贡区电子政务视频会议新系统（高清）延伸建设经费</w:t>
      </w:r>
      <w:r>
        <w:rPr>
          <w:rFonts w:hint="eastAsia" w:ascii="仿宋_GB2312"/>
          <w:szCs w:val="32"/>
          <w:lang w:val="en-US" w:eastAsia="zh-CN"/>
        </w:rPr>
        <w:t>调增77.42万元，主要用于区政府视频会议系统扩建经费。</w:t>
      </w:r>
    </w:p>
    <w:p>
      <w:pPr>
        <w:pStyle w:val="2"/>
        <w:numPr>
          <w:ilvl w:val="0"/>
          <w:numId w:val="1"/>
        </w:numPr>
        <w:rPr>
          <w:rFonts w:hint="default" w:ascii="仿宋_GB2312"/>
          <w:szCs w:val="32"/>
          <w:lang w:val="en-US" w:eastAsia="zh-CN"/>
        </w:rPr>
      </w:pPr>
      <w:r>
        <w:rPr>
          <w:rFonts w:hint="default" w:ascii="仿宋_GB2312"/>
          <w:szCs w:val="32"/>
          <w:lang w:val="en-US" w:eastAsia="zh-CN"/>
        </w:rPr>
        <w:t>原呈贡水泥厂退休职工郑林茂丧葬费及抚恤费</w:t>
      </w:r>
      <w:r>
        <w:rPr>
          <w:rFonts w:hint="eastAsia" w:ascii="仿宋_GB2312"/>
          <w:szCs w:val="32"/>
          <w:lang w:val="en-US" w:eastAsia="zh-CN"/>
        </w:rPr>
        <w:t>为追加项目1万元，由于职工去世，追加</w:t>
      </w:r>
      <w:r>
        <w:rPr>
          <w:rFonts w:hint="default" w:ascii="仿宋_GB2312"/>
          <w:szCs w:val="32"/>
          <w:lang w:val="en-US" w:eastAsia="zh-CN"/>
        </w:rPr>
        <w:t>茂丧葬费及抚恤费</w:t>
      </w:r>
      <w:r>
        <w:rPr>
          <w:rFonts w:hint="eastAsia" w:ascii="仿宋_GB2312"/>
          <w:szCs w:val="32"/>
          <w:lang w:val="en-US" w:eastAsia="zh-CN"/>
        </w:rPr>
        <w:t>。</w:t>
      </w:r>
    </w:p>
    <w:p>
      <w:pPr>
        <w:pStyle w:val="2"/>
        <w:numPr>
          <w:ilvl w:val="0"/>
          <w:numId w:val="1"/>
        </w:numPr>
        <w:rPr>
          <w:rFonts w:hint="default" w:ascii="仿宋_GB2312"/>
          <w:szCs w:val="32"/>
          <w:lang w:val="en-US" w:eastAsia="zh-CN"/>
        </w:rPr>
      </w:pPr>
      <w:r>
        <w:rPr>
          <w:rFonts w:hint="default" w:ascii="仿宋_GB2312"/>
          <w:szCs w:val="32"/>
          <w:lang w:val="en-US" w:eastAsia="zh-CN"/>
        </w:rPr>
        <w:t>补助雨花社区10KV配电工程及相关改造工作</w:t>
      </w:r>
      <w:r>
        <w:rPr>
          <w:rFonts w:hint="eastAsia" w:ascii="仿宋_GB2312"/>
          <w:szCs w:val="32"/>
          <w:lang w:val="en-US" w:eastAsia="zh-CN"/>
        </w:rPr>
        <w:t>调增20万元，由于人大代表建议专项资金，主要用于</w:t>
      </w:r>
      <w:r>
        <w:rPr>
          <w:rFonts w:hint="default" w:ascii="仿宋_GB2312"/>
          <w:szCs w:val="32"/>
          <w:lang w:val="en-US" w:eastAsia="zh-CN"/>
        </w:rPr>
        <w:t>补助雨花社区10KV配电工程及相关改造工作</w:t>
      </w:r>
      <w:r>
        <w:rPr>
          <w:rFonts w:hint="eastAsia" w:ascii="仿宋_GB2312"/>
          <w:szCs w:val="32"/>
          <w:lang w:val="en-US" w:eastAsia="zh-CN"/>
        </w:rPr>
        <w:t>。</w:t>
      </w:r>
    </w:p>
    <w:p>
      <w:pPr>
        <w:pStyle w:val="2"/>
        <w:numPr>
          <w:ilvl w:val="0"/>
          <w:numId w:val="1"/>
        </w:numPr>
        <w:rPr>
          <w:rFonts w:hint="default" w:ascii="仿宋_GB2312"/>
          <w:szCs w:val="32"/>
          <w:lang w:val="en-US" w:eastAsia="zh-CN"/>
        </w:rPr>
      </w:pPr>
      <w:r>
        <w:rPr>
          <w:rFonts w:hint="default" w:ascii="仿宋_GB2312"/>
          <w:szCs w:val="32"/>
          <w:lang w:val="en-US" w:eastAsia="zh-CN"/>
        </w:rPr>
        <w:t>斗南花卉特色小镇创建斗南社区弱电整治项目</w:t>
      </w:r>
      <w:r>
        <w:rPr>
          <w:rFonts w:hint="eastAsia" w:ascii="仿宋_GB2312"/>
          <w:szCs w:val="32"/>
          <w:lang w:val="en-US" w:eastAsia="zh-CN"/>
        </w:rPr>
        <w:t>追加404.7万元，用于斗南弱电整治。</w:t>
      </w:r>
    </w:p>
    <w:p>
      <w:pPr>
        <w:pStyle w:val="2"/>
        <w:numPr>
          <w:ilvl w:val="0"/>
          <w:numId w:val="1"/>
        </w:numPr>
        <w:rPr>
          <w:rFonts w:hint="default" w:ascii="仿宋_GB2312"/>
          <w:szCs w:val="32"/>
          <w:lang w:val="en-US" w:eastAsia="zh-CN"/>
        </w:rPr>
      </w:pPr>
      <w:r>
        <w:rPr>
          <w:rFonts w:hint="default" w:ascii="仿宋_GB2312"/>
          <w:szCs w:val="32"/>
          <w:lang w:val="en-US" w:eastAsia="zh-CN"/>
        </w:rPr>
        <w:t>《昆明市呈贡区科技和工业信息化安全生产专项规划》编制经费</w:t>
      </w:r>
      <w:r>
        <w:rPr>
          <w:rFonts w:hint="eastAsia" w:ascii="仿宋_GB2312"/>
          <w:szCs w:val="32"/>
          <w:lang w:val="en-US" w:eastAsia="zh-CN"/>
        </w:rPr>
        <w:t>追加6万元，固定资产清查追加1.48万元，两项经费均按需完成。</w:t>
      </w:r>
    </w:p>
    <w:p>
      <w:pPr>
        <w:pStyle w:val="2"/>
        <w:numPr>
          <w:ilvl w:val="0"/>
          <w:numId w:val="1"/>
        </w:numPr>
        <w:rPr>
          <w:rFonts w:hint="default" w:ascii="仿宋_GB2312"/>
          <w:szCs w:val="32"/>
          <w:lang w:val="en-US" w:eastAsia="zh-CN"/>
        </w:rPr>
      </w:pPr>
      <w:r>
        <w:rPr>
          <w:rFonts w:hint="eastAsia" w:ascii="仿宋_GB2312"/>
          <w:szCs w:val="32"/>
          <w:lang w:val="en-US" w:eastAsia="zh-CN"/>
        </w:rPr>
        <w:t>2019年上级转移支付项目3个，批复16.91万元，实际执行16.12万元，执行率95.32%，主要用于</w:t>
      </w:r>
    </w:p>
    <w:p>
      <w:pPr>
        <w:pStyle w:val="2"/>
        <w:numPr>
          <w:ilvl w:val="0"/>
          <w:numId w:val="1"/>
        </w:numPr>
        <w:rPr>
          <w:rFonts w:hint="default" w:ascii="仿宋_GB2312"/>
          <w:szCs w:val="32"/>
          <w:lang w:val="en-US" w:eastAsia="zh-CN"/>
        </w:rPr>
      </w:pPr>
      <w:r>
        <w:rPr>
          <w:rFonts w:hint="eastAsia" w:ascii="仿宋_GB2312"/>
          <w:szCs w:val="32"/>
          <w:lang w:val="en-US" w:eastAsia="zh-CN"/>
        </w:rPr>
        <w:t>市级转移支付项目2个，下达2020年中央引导地方科技发展专项（第二批）补助资金120万元，2020年中小企业发展资金100万元，主要用于企业补助资金。</w:t>
      </w:r>
    </w:p>
    <w:p>
      <w:pPr>
        <w:topLinePunct/>
        <w:ind w:firstLine="594" w:firstLineChars="200"/>
        <w:rPr>
          <w:rFonts w:hint="eastAsia" w:ascii="黑体" w:eastAsia="黑体"/>
          <w:szCs w:val="32"/>
        </w:rPr>
      </w:pPr>
      <w:r>
        <w:rPr>
          <w:rFonts w:hint="eastAsia" w:ascii="黑体" w:eastAsia="黑体"/>
          <w:szCs w:val="32"/>
        </w:rPr>
        <w:t>二、</w:t>
      </w:r>
      <w:r>
        <w:rPr>
          <w:rFonts w:hint="eastAsia" w:ascii="黑体" w:eastAsia="黑体"/>
          <w:szCs w:val="32"/>
          <w:lang w:eastAsia="zh-CN"/>
        </w:rPr>
        <w:t>项目资金使用及管理情况</w:t>
      </w:r>
    </w:p>
    <w:p>
      <w:pPr>
        <w:keepNext w:val="0"/>
        <w:keepLines w:val="0"/>
        <w:pageBreakBefore w:val="0"/>
        <w:widowControl w:val="0"/>
        <w:kinsoku/>
        <w:wordWrap/>
        <w:overflowPunct/>
        <w:topLinePunct/>
        <w:autoSpaceDE/>
        <w:autoSpaceDN/>
        <w:bidi w:val="0"/>
        <w:adjustRightInd/>
        <w:snapToGrid/>
        <w:spacing w:line="240" w:lineRule="auto"/>
        <w:ind w:left="0" w:leftChars="0" w:right="0" w:rightChars="0" w:firstLine="594" w:firstLineChars="200"/>
        <w:jc w:val="both"/>
        <w:textAlignment w:val="auto"/>
        <w:outlineLvl w:val="9"/>
        <w:rPr>
          <w:rFonts w:hint="eastAsia" w:ascii="仿宋_GB2312" w:hAnsi="仿宋_GB2312" w:cs="仿宋_GB2312"/>
          <w:szCs w:val="32"/>
          <w:lang w:eastAsia="zh-CN"/>
        </w:rPr>
      </w:pPr>
      <w:r>
        <w:rPr>
          <w:rFonts w:hint="eastAsia" w:ascii="仿宋_GB2312" w:hAnsi="仿宋_GB2312" w:eastAsia="仿宋_GB2312" w:cs="仿宋_GB2312"/>
          <w:szCs w:val="32"/>
        </w:rPr>
        <w:t>项目资金（包括公共财政预算资金、政府性基金、财政专户资金、自筹资金等）安排落实、总投入等情况分析</w:t>
      </w:r>
      <w:r>
        <w:rPr>
          <w:rFonts w:hint="eastAsia" w:ascii="仿宋_GB2312" w:hAnsi="仿宋_GB2312" w:cs="仿宋_GB2312"/>
          <w:szCs w:val="32"/>
          <w:lang w:eastAsia="zh-CN"/>
        </w:rPr>
        <w:t>。</w:t>
      </w:r>
      <w:r>
        <w:rPr>
          <w:rFonts w:hint="eastAsia" w:ascii="仿宋_GB2312" w:hAnsi="仿宋_GB2312" w:eastAsia="仿宋_GB2312" w:cs="仿宋_GB2312"/>
          <w:szCs w:val="32"/>
        </w:rPr>
        <w:t>项目资金（主要是指财政</w:t>
      </w:r>
      <w:r>
        <w:rPr>
          <w:rFonts w:hint="eastAsia" w:ascii="仿宋_GB2312" w:hAnsi="仿宋_GB2312" w:cs="仿宋_GB2312"/>
          <w:szCs w:val="32"/>
          <w:lang w:eastAsia="zh-CN"/>
        </w:rPr>
        <w:t>拨款</w:t>
      </w:r>
      <w:r>
        <w:rPr>
          <w:rFonts w:hint="eastAsia" w:ascii="仿宋_GB2312" w:hAnsi="仿宋_GB2312" w:eastAsia="仿宋_GB2312" w:cs="仿宋_GB2312"/>
          <w:szCs w:val="32"/>
        </w:rPr>
        <w:t>）实际使用情况分析。</w:t>
      </w:r>
      <w:r>
        <w:rPr>
          <w:rFonts w:hint="eastAsia" w:ascii="仿宋_GB2312" w:hAnsi="仿宋_GB2312" w:cs="仿宋_GB2312"/>
          <w:szCs w:val="32"/>
          <w:lang w:eastAsia="zh-CN"/>
        </w:rPr>
        <w:t>项目资金管理情况（包括管理制度、办法的制订及执行情况）分析。</w:t>
      </w:r>
    </w:p>
    <w:p>
      <w:pPr>
        <w:pStyle w:val="2"/>
        <w:rPr>
          <w:rFonts w:hint="eastAsia"/>
          <w:lang w:eastAsia="zh-CN"/>
        </w:rPr>
      </w:pPr>
      <w:r>
        <w:rPr>
          <w:rFonts w:hint="eastAsia" w:ascii="仿宋_GB2312" w:hAnsi="仿宋_GB2312" w:cs="仿宋_GB2312"/>
          <w:sz w:val="32"/>
          <w:szCs w:val="32"/>
          <w:lang w:val="en-US" w:eastAsia="zh-CN"/>
        </w:rPr>
        <w:t>项目经费全部为一般公共财政预算资金，由区级安排统筹使用，资金使用由</w:t>
      </w:r>
      <w:r>
        <w:rPr>
          <w:rFonts w:hint="eastAsia" w:ascii="仿宋_GB2312" w:hAnsi="仿宋_GB2312" w:eastAsia="仿宋_GB2312" w:cs="仿宋_GB2312"/>
          <w:sz w:val="32"/>
          <w:szCs w:val="32"/>
        </w:rPr>
        <w:t>预算及绩效评价统一部署和组织实施。</w:t>
      </w:r>
      <w:r>
        <w:rPr>
          <w:rFonts w:hint="eastAsia"/>
          <w:lang w:val="en-US" w:eastAsia="zh-CN"/>
        </w:rPr>
        <w:t>由各科室负责项目具体业务开展，及项目实施进度跟踪，科长负主要责任，分管领导负责统筹与安排，财务负责数据统计与汇总。根据年初绩效目标要求，项目实施计划有序执行。</w:t>
      </w:r>
      <w:r>
        <w:rPr>
          <w:rFonts w:hint="eastAsia" w:ascii="仿宋_GB2312" w:hAnsi="仿宋_GB2312" w:cs="仿宋_GB2312"/>
          <w:spacing w:val="8"/>
          <w:sz w:val="32"/>
          <w:szCs w:val="32"/>
          <w:lang w:val="en-US" w:eastAsia="zh-CN"/>
        </w:rPr>
        <w:t>项目按年初计划实施，针对事中遇到的实施问题，偏离计划外的事项，三重一大会议讨论研究后调整相应实施策略。</w:t>
      </w:r>
    </w:p>
    <w:p>
      <w:pPr>
        <w:topLinePunct/>
        <w:ind w:firstLine="594" w:firstLineChars="200"/>
        <w:rPr>
          <w:rFonts w:hint="eastAsia" w:ascii="黑体" w:eastAsia="黑体"/>
          <w:szCs w:val="32"/>
          <w:lang w:eastAsia="zh-CN"/>
        </w:rPr>
      </w:pPr>
      <w:r>
        <w:rPr>
          <w:rFonts w:hint="eastAsia" w:ascii="黑体" w:eastAsia="黑体"/>
          <w:szCs w:val="32"/>
          <w:lang w:eastAsia="zh-CN"/>
        </w:rPr>
        <w:t>三、项目组织实施情况</w:t>
      </w:r>
    </w:p>
    <w:p>
      <w:pPr>
        <w:topLinePunct/>
        <w:ind w:firstLine="594"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项目组织情况分析，主要包括项目前期准备、招投标、调整、竣工验收等情况。项目管理情况分析，主要包括项目管理制度、办法的制订、日常检查监督管理等情况。</w:t>
      </w:r>
    </w:p>
    <w:p>
      <w:pPr>
        <w:pStyle w:val="2"/>
        <w:rPr>
          <w:rFonts w:hint="default" w:eastAsia="仿宋_GB2312"/>
          <w:lang w:val="en-US" w:eastAsia="zh-CN"/>
        </w:rPr>
      </w:pPr>
      <w:r>
        <w:rPr>
          <w:rFonts w:hint="eastAsia"/>
          <w:lang w:val="en-US" w:eastAsia="zh-CN"/>
        </w:rPr>
        <w:t>区科工信局项目较多，重点项目也比较明显，事前调研，事中跟踪，及时反馈，科学性，合理性成为日常项目最基本的监督职能。</w:t>
      </w:r>
    </w:p>
    <w:p>
      <w:pPr>
        <w:topLinePunct/>
        <w:ind w:firstLine="594" w:firstLineChars="200"/>
        <w:rPr>
          <w:rFonts w:ascii="黑体" w:eastAsia="黑体"/>
          <w:szCs w:val="32"/>
        </w:rPr>
      </w:pPr>
      <w:r>
        <w:rPr>
          <w:rFonts w:hint="eastAsia" w:ascii="黑体" w:eastAsia="黑体"/>
          <w:szCs w:val="32"/>
          <w:lang w:eastAsia="zh-CN"/>
        </w:rPr>
        <w:t>四</w:t>
      </w:r>
      <w:r>
        <w:rPr>
          <w:rFonts w:hint="eastAsia" w:ascii="黑体" w:eastAsia="黑体"/>
          <w:szCs w:val="32"/>
        </w:rPr>
        <w:t>、项目绩效情况</w:t>
      </w:r>
    </w:p>
    <w:p>
      <w:pPr>
        <w:topLinePunct/>
        <w:ind w:firstLine="594" w:firstLineChars="200"/>
        <w:jc w:val="both"/>
        <w:rPr>
          <w:rFonts w:hint="eastAsia" w:ascii="仿宋_GB2312"/>
          <w:szCs w:val="32"/>
        </w:rPr>
      </w:pPr>
      <w:r>
        <w:rPr>
          <w:rFonts w:hint="eastAsia" w:ascii="仿宋_GB2312"/>
          <w:szCs w:val="32"/>
        </w:rPr>
        <w:t>主要从项目的经济性、效率性、有效性和可持续性等方面进行量化、具体分析。其中：项目的经济性分析主要是对项目成本（预算）控制、节约等情况进行分析；项目的效率性分析主要是对项目实施（完成）的进度及质量等情况进行分析；项目的有效性分析主要是对反映项目资金使用效果的个性指标进行分析；项目的可持续性分析主要是对项目完成后，后续政策、资金、人员机构安排和管理措施等影响项目持续发展的因素进行分析。</w:t>
      </w:r>
    </w:p>
    <w:p>
      <w:pPr>
        <w:pStyle w:val="2"/>
        <w:rPr>
          <w:rFonts w:hint="default" w:eastAsia="仿宋_GB2312"/>
          <w:lang w:val="en-US" w:eastAsia="zh-CN"/>
        </w:rPr>
      </w:pPr>
      <w:r>
        <w:rPr>
          <w:rFonts w:hint="eastAsia"/>
          <w:lang w:val="en-US" w:eastAsia="zh-CN"/>
        </w:rPr>
        <w:t>区科工信局在经济性、</w:t>
      </w:r>
      <w:r>
        <w:rPr>
          <w:rFonts w:hint="eastAsia" w:ascii="仿宋_GB2312"/>
          <w:szCs w:val="32"/>
        </w:rPr>
        <w:t>效率性、有效性和可持续性</w:t>
      </w:r>
      <w:r>
        <w:rPr>
          <w:rFonts w:hint="eastAsia" w:ascii="仿宋_GB2312"/>
          <w:szCs w:val="32"/>
          <w:lang w:val="en-US" w:eastAsia="zh-CN"/>
        </w:rPr>
        <w:t>等方面都取得了比较明显的成绩，持续推动整个呈贡区科技信息高速发展。项目的实施效率性而言，影响因素较多，针对重点项目还需结合各方面资源进行整合才能更高效发展。</w:t>
      </w:r>
    </w:p>
    <w:p>
      <w:pPr>
        <w:topLinePunct/>
        <w:ind w:firstLine="594" w:firstLineChars="200"/>
        <w:rPr>
          <w:rFonts w:ascii="黑体" w:eastAsia="黑体"/>
          <w:szCs w:val="32"/>
        </w:rPr>
      </w:pPr>
      <w:r>
        <w:rPr>
          <w:rFonts w:hint="eastAsia" w:ascii="黑体" w:eastAsia="黑体"/>
          <w:szCs w:val="32"/>
          <w:lang w:eastAsia="zh-CN"/>
        </w:rPr>
        <w:t>五</w:t>
      </w:r>
      <w:r>
        <w:rPr>
          <w:rFonts w:hint="eastAsia" w:ascii="黑体" w:eastAsia="黑体"/>
          <w:szCs w:val="32"/>
        </w:rPr>
        <w:t>、存在的问题</w:t>
      </w:r>
    </w:p>
    <w:p>
      <w:pPr>
        <w:topLinePunct/>
        <w:ind w:firstLine="594" w:firstLineChars="200"/>
        <w:rPr>
          <w:rFonts w:hint="eastAsia" w:ascii="仿宋_GB2312"/>
          <w:szCs w:val="32"/>
        </w:rPr>
      </w:pPr>
      <w:r>
        <w:rPr>
          <w:rFonts w:hint="eastAsia" w:ascii="仿宋_GB2312"/>
          <w:szCs w:val="32"/>
        </w:rPr>
        <w:t>（一）专项管理方面的问题。专项立项依据是否充分；是否有资金管理办法，资金管理办法是否规范等。</w:t>
      </w:r>
    </w:p>
    <w:p>
      <w:pPr>
        <w:pStyle w:val="2"/>
        <w:rPr>
          <w:rFonts w:hint="default" w:eastAsia="仿宋_GB2312"/>
          <w:lang w:val="en-US" w:eastAsia="zh-CN"/>
        </w:rPr>
      </w:pPr>
      <w:r>
        <w:rPr>
          <w:rFonts w:hint="eastAsia"/>
          <w:lang w:val="en-US" w:eastAsia="zh-CN"/>
        </w:rPr>
        <w:t>区科工信局专项经费一直都是有依据可询，有依据才立项，有专用资金管理办法管理资金。</w:t>
      </w:r>
    </w:p>
    <w:p>
      <w:pPr>
        <w:numPr>
          <w:ilvl w:val="0"/>
          <w:numId w:val="2"/>
        </w:numPr>
        <w:topLinePunct/>
        <w:ind w:firstLine="594" w:firstLineChars="200"/>
        <w:rPr>
          <w:rFonts w:hint="eastAsia" w:ascii="仿宋_GB2312"/>
          <w:szCs w:val="32"/>
        </w:rPr>
      </w:pPr>
      <w:r>
        <w:rPr>
          <w:rFonts w:hint="eastAsia" w:ascii="仿宋_GB2312"/>
          <w:szCs w:val="32"/>
        </w:rPr>
        <w:t>资金分配方面的问题。资金分配是否合理，突出重点，公平公正；有无散小差现象；资金分配和使用方向是否与资金管理办法相符等。</w:t>
      </w:r>
    </w:p>
    <w:p>
      <w:pPr>
        <w:pStyle w:val="2"/>
        <w:numPr>
          <w:ilvl w:val="0"/>
          <w:numId w:val="0"/>
        </w:numPr>
        <w:rPr>
          <w:rFonts w:hint="default" w:eastAsia="仿宋_GB2312"/>
          <w:lang w:val="en-US" w:eastAsia="zh-CN"/>
        </w:rPr>
      </w:pPr>
      <w:r>
        <w:rPr>
          <w:rFonts w:hint="eastAsia"/>
          <w:lang w:val="en-US" w:eastAsia="zh-CN"/>
        </w:rPr>
        <w:t xml:space="preserve">   区科工信局一直坚持谁主张，谁预算、谁实施、谁担责的原则，公平公正开展每一个项目，分配合理。</w:t>
      </w:r>
    </w:p>
    <w:p>
      <w:pPr>
        <w:numPr>
          <w:ilvl w:val="0"/>
          <w:numId w:val="2"/>
        </w:numPr>
        <w:topLinePunct/>
        <w:ind w:left="0" w:leftChars="0" w:firstLine="594" w:firstLineChars="200"/>
        <w:rPr>
          <w:rFonts w:hint="eastAsia" w:ascii="仿宋_GB2312"/>
          <w:szCs w:val="32"/>
        </w:rPr>
      </w:pPr>
      <w:r>
        <w:rPr>
          <w:rFonts w:hint="eastAsia" w:ascii="仿宋_GB2312"/>
          <w:szCs w:val="32"/>
        </w:rPr>
        <w:t>资金拨付方面的问题。拨付是否及时，有无滞留、闲置等现象。</w:t>
      </w:r>
    </w:p>
    <w:p>
      <w:pPr>
        <w:pStyle w:val="2"/>
        <w:numPr>
          <w:ilvl w:val="0"/>
          <w:numId w:val="0"/>
        </w:numPr>
        <w:ind w:leftChars="200"/>
        <w:rPr>
          <w:rFonts w:hint="default" w:eastAsia="仿宋_GB2312"/>
          <w:lang w:val="en-US" w:eastAsia="zh-CN"/>
        </w:rPr>
      </w:pPr>
      <w:r>
        <w:rPr>
          <w:rFonts w:hint="eastAsia"/>
          <w:lang w:val="en-US" w:eastAsia="zh-CN"/>
        </w:rPr>
        <w:t>区科工信局所有资金拨付均根据年初预算目标为导向，实施效果达标，手续齐全，三重一大会议决策原则进行拨</w:t>
      </w:r>
      <w:bookmarkStart w:id="0" w:name="_GoBack"/>
      <w:bookmarkEnd w:id="0"/>
      <w:r>
        <w:rPr>
          <w:rFonts w:hint="eastAsia"/>
          <w:lang w:val="en-US" w:eastAsia="zh-CN"/>
        </w:rPr>
        <w:t>付。</w:t>
      </w:r>
    </w:p>
    <w:p>
      <w:pPr>
        <w:numPr>
          <w:ilvl w:val="0"/>
          <w:numId w:val="2"/>
        </w:numPr>
        <w:topLinePunct/>
        <w:ind w:left="0" w:leftChars="0" w:firstLine="594" w:firstLineChars="200"/>
        <w:rPr>
          <w:rFonts w:hint="eastAsia" w:ascii="仿宋_GB2312"/>
          <w:szCs w:val="32"/>
        </w:rPr>
      </w:pPr>
      <w:r>
        <w:rPr>
          <w:rFonts w:hint="eastAsia" w:ascii="仿宋_GB2312"/>
          <w:szCs w:val="32"/>
        </w:rPr>
        <w:t>资金使用方面的问题。资金使用是否合规，有无截留、挪用等现象，资金使用是否产生效益等。</w:t>
      </w:r>
    </w:p>
    <w:p>
      <w:pPr>
        <w:pStyle w:val="2"/>
        <w:rPr>
          <w:rFonts w:hint="default" w:eastAsia="仿宋_GB2312"/>
          <w:lang w:val="en-US" w:eastAsia="zh-CN"/>
        </w:rPr>
      </w:pPr>
      <w:r>
        <w:rPr>
          <w:rFonts w:hint="eastAsia" w:ascii="仿宋_GB2312"/>
          <w:szCs w:val="32"/>
          <w:lang w:val="en-US" w:eastAsia="zh-CN"/>
        </w:rPr>
        <w:t>区科工局资金使用合理合规，不存在截留、挪用、占用等情况。</w:t>
      </w:r>
    </w:p>
    <w:p>
      <w:pPr>
        <w:topLinePunct/>
        <w:ind w:firstLine="594" w:firstLineChars="200"/>
        <w:rPr>
          <w:rFonts w:ascii="黑体" w:eastAsia="黑体"/>
          <w:szCs w:val="32"/>
        </w:rPr>
      </w:pPr>
      <w:r>
        <w:rPr>
          <w:rFonts w:hint="eastAsia" w:ascii="黑体" w:eastAsia="黑体"/>
          <w:szCs w:val="32"/>
          <w:lang w:eastAsia="zh-CN"/>
        </w:rPr>
        <w:t>六</w:t>
      </w:r>
      <w:r>
        <w:rPr>
          <w:rFonts w:hint="eastAsia" w:ascii="黑体" w:eastAsia="黑体"/>
          <w:szCs w:val="32"/>
        </w:rPr>
        <w:t>、其他需要说明的问题</w:t>
      </w:r>
    </w:p>
    <w:p>
      <w:pPr>
        <w:topLinePunct/>
        <w:ind w:firstLine="594" w:firstLineChars="200"/>
        <w:rPr>
          <w:rFonts w:hint="eastAsia" w:ascii="仿宋_GB2312"/>
          <w:szCs w:val="32"/>
        </w:rPr>
      </w:pPr>
      <w:r>
        <w:rPr>
          <w:rFonts w:hint="eastAsia" w:ascii="仿宋_GB2312"/>
          <w:szCs w:val="32"/>
        </w:rPr>
        <w:t>（一）后续工作计划。</w:t>
      </w:r>
    </w:p>
    <w:p>
      <w:pPr>
        <w:keepNext w:val="0"/>
        <w:keepLines w:val="0"/>
        <w:pageBreakBefore w:val="0"/>
        <w:numPr>
          <w:ilvl w:val="0"/>
          <w:numId w:val="0"/>
        </w:numPr>
        <w:kinsoku/>
        <w:wordWrap/>
        <w:overflowPunct/>
        <w:topLinePunct w:val="0"/>
        <w:autoSpaceDE/>
        <w:bidi w:val="0"/>
        <w:adjustRightInd/>
        <w:snapToGrid/>
        <w:spacing w:line="560" w:lineRule="exact"/>
        <w:ind w:right="0" w:rightChars="0" w:firstLine="594" w:firstLineChars="200"/>
        <w:jc w:val="left"/>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rPr>
        <w:t>继续做好电信业务总量的统计上报工作。</w:t>
      </w:r>
    </w:p>
    <w:p>
      <w:pPr>
        <w:keepNext w:val="0"/>
        <w:keepLines w:val="0"/>
        <w:pageBreakBefore w:val="0"/>
        <w:numPr>
          <w:ilvl w:val="0"/>
          <w:numId w:val="0"/>
        </w:numPr>
        <w:kinsoku/>
        <w:wordWrap/>
        <w:overflowPunct/>
        <w:topLinePunct w:val="0"/>
        <w:autoSpaceDE/>
        <w:bidi w:val="0"/>
        <w:adjustRightInd/>
        <w:snapToGrid/>
        <w:spacing w:line="560" w:lineRule="exact"/>
        <w:ind w:right="0" w:rightChars="0" w:firstLine="594"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2.开展</w:t>
      </w:r>
      <w:r>
        <w:rPr>
          <w:rFonts w:hint="default" w:ascii="Times New Roman" w:hAnsi="Times New Roman" w:eastAsia="仿宋_GB2312" w:cs="Times New Roman"/>
          <w:color w:val="000000"/>
          <w:sz w:val="32"/>
          <w:szCs w:val="32"/>
          <w:highlight w:val="none"/>
          <w:lang w:eastAsia="zh-CN"/>
        </w:rPr>
        <w:t>智慧呈贡</w:t>
      </w:r>
      <w:r>
        <w:rPr>
          <w:rFonts w:hint="default" w:ascii="Times New Roman" w:hAnsi="Times New Roman" w:eastAsia="仿宋_GB2312" w:cs="Times New Roman"/>
          <w:color w:val="000000"/>
          <w:sz w:val="32"/>
          <w:szCs w:val="32"/>
          <w:highlight w:val="none"/>
          <w:lang w:val="en-US" w:eastAsia="zh-CN"/>
        </w:rPr>
        <w:t>一期项目</w:t>
      </w:r>
      <w:r>
        <w:rPr>
          <w:rFonts w:hint="default" w:ascii="Times New Roman" w:hAnsi="Times New Roman" w:eastAsia="仿宋_GB2312" w:cs="Times New Roman"/>
          <w:color w:val="000000"/>
          <w:sz w:val="32"/>
          <w:szCs w:val="32"/>
          <w:highlight w:val="none"/>
          <w:lang w:eastAsia="zh-CN"/>
        </w:rPr>
        <w:t>建设，</w:t>
      </w:r>
      <w:r>
        <w:rPr>
          <w:rFonts w:hint="default" w:ascii="Times New Roman" w:hAnsi="Times New Roman" w:eastAsia="仿宋_GB2312" w:cs="Times New Roman"/>
          <w:bCs/>
          <w:color w:val="000000"/>
          <w:sz w:val="32"/>
          <w:szCs w:val="32"/>
          <w:highlight w:val="none"/>
          <w:lang w:eastAsia="zh-CN"/>
        </w:rPr>
        <w:t>完成</w:t>
      </w:r>
      <w:r>
        <w:rPr>
          <w:rFonts w:hint="default" w:ascii="Times New Roman" w:hAnsi="Times New Roman" w:eastAsia="仿宋_GB2312" w:cs="Times New Roman"/>
          <w:bCs/>
          <w:color w:val="000000"/>
          <w:sz w:val="32"/>
          <w:szCs w:val="32"/>
          <w:highlight w:val="none"/>
        </w:rPr>
        <w:t>智慧城市运营中心、基础平台、智慧交通</w:t>
      </w:r>
      <w:r>
        <w:rPr>
          <w:rFonts w:hint="default" w:ascii="Times New Roman" w:hAnsi="Times New Roman" w:eastAsia="仿宋_GB2312" w:cs="Times New Roman"/>
          <w:bCs/>
          <w:color w:val="000000"/>
          <w:sz w:val="32"/>
          <w:szCs w:val="32"/>
          <w:highlight w:val="none"/>
          <w:lang w:eastAsia="zh-CN"/>
        </w:rPr>
        <w:t>、</w:t>
      </w:r>
      <w:r>
        <w:rPr>
          <w:rFonts w:hint="default" w:ascii="Times New Roman" w:hAnsi="Times New Roman" w:eastAsia="仿宋_GB2312" w:cs="Times New Roman"/>
          <w:bCs/>
          <w:color w:val="000000"/>
          <w:sz w:val="32"/>
          <w:szCs w:val="32"/>
          <w:highlight w:val="none"/>
        </w:rPr>
        <w:t>智慧城管、雪亮工程</w:t>
      </w:r>
      <w:r>
        <w:rPr>
          <w:rFonts w:hint="default" w:ascii="Times New Roman" w:hAnsi="Times New Roman" w:eastAsia="仿宋_GB2312" w:cs="Times New Roman"/>
          <w:bCs/>
          <w:color w:val="000000"/>
          <w:sz w:val="32"/>
          <w:szCs w:val="32"/>
          <w:highlight w:val="none"/>
          <w:lang w:val="en-US" w:eastAsia="zh-CN"/>
        </w:rPr>
        <w:t>等子项目建设；</w:t>
      </w:r>
      <w:r>
        <w:rPr>
          <w:rFonts w:hint="default" w:ascii="Times New Roman" w:hAnsi="Times New Roman" w:eastAsia="仿宋_GB2312" w:cs="Times New Roman"/>
          <w:color w:val="000000"/>
          <w:sz w:val="32"/>
          <w:szCs w:val="32"/>
          <w:highlight w:val="none"/>
          <w:lang w:val="en-US" w:eastAsia="zh-CN"/>
        </w:rPr>
        <w:t>3.继续做好区政府门户网站、区电子政务系统的运维工作。</w:t>
      </w:r>
    </w:p>
    <w:p>
      <w:pPr>
        <w:keepNext w:val="0"/>
        <w:keepLines w:val="0"/>
        <w:pageBreakBefore w:val="0"/>
        <w:kinsoku/>
        <w:wordWrap/>
        <w:overflowPunct/>
        <w:topLinePunct w:val="0"/>
        <w:autoSpaceDE/>
        <w:bidi w:val="0"/>
        <w:adjustRightInd/>
        <w:snapToGrid/>
        <w:spacing w:line="560" w:lineRule="exact"/>
        <w:ind w:left="0" w:leftChars="0" w:right="0" w:rightChars="0" w:firstLine="594"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lang w:eastAsia="zh-CN"/>
        </w:rPr>
        <w:t>继续做好视频会议设备的维护和视频信息接收工作</w:t>
      </w:r>
      <w:r>
        <w:rPr>
          <w:rFonts w:hint="default" w:ascii="Times New Roman" w:hAnsi="Times New Roman" w:eastAsia="仿宋_GB2312" w:cs="Times New Roman"/>
          <w:color w:val="000000"/>
          <w:sz w:val="32"/>
          <w:szCs w:val="32"/>
          <w:highlight w:val="none"/>
          <w:lang w:val="en-US" w:eastAsia="zh-CN"/>
        </w:rPr>
        <w:t>；完成街道视频会议分会场建设。</w:t>
      </w:r>
    </w:p>
    <w:p>
      <w:pPr>
        <w:keepNext w:val="0"/>
        <w:keepLines w:val="0"/>
        <w:pageBreakBefore w:val="0"/>
        <w:kinsoku/>
        <w:wordWrap/>
        <w:overflowPunct/>
        <w:topLinePunct w:val="0"/>
        <w:autoSpaceDE/>
        <w:bidi w:val="0"/>
        <w:adjustRightInd/>
        <w:snapToGrid/>
        <w:spacing w:line="560" w:lineRule="exact"/>
        <w:ind w:right="0" w:rightChars="0" w:firstLine="594"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5.加快推进5G基站建设，实现公共区域全覆盖；继续做好4G信息的深度覆盖工作；统筹推进200M及以上光纤使用率。</w:t>
      </w:r>
    </w:p>
    <w:p>
      <w:pPr>
        <w:keepNext w:val="0"/>
        <w:keepLines w:val="0"/>
        <w:pageBreakBefore w:val="0"/>
        <w:kinsoku/>
        <w:wordWrap/>
        <w:overflowPunct/>
        <w:topLinePunct w:val="0"/>
        <w:autoSpaceDE/>
        <w:bidi w:val="0"/>
        <w:adjustRightInd/>
        <w:snapToGrid/>
        <w:spacing w:line="560" w:lineRule="exact"/>
        <w:ind w:right="0" w:rightChars="0" w:firstLine="594" w:firstLineChars="200"/>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val="en-US" w:eastAsia="zh-CN"/>
        </w:rPr>
        <w:t>6.继续</w:t>
      </w:r>
      <w:r>
        <w:rPr>
          <w:rFonts w:hint="default" w:ascii="Times New Roman" w:hAnsi="Times New Roman" w:eastAsia="仿宋_GB2312" w:cs="Times New Roman"/>
          <w:color w:val="000000"/>
          <w:sz w:val="32"/>
          <w:szCs w:val="32"/>
          <w:highlight w:val="none"/>
          <w:lang w:eastAsia="zh-CN"/>
        </w:rPr>
        <w:t>做好区域内信息化类网格案件的处置工作。</w:t>
      </w:r>
    </w:p>
    <w:p>
      <w:pPr>
        <w:keepNext w:val="0"/>
        <w:keepLines w:val="0"/>
        <w:pageBreakBefore w:val="0"/>
        <w:kinsoku/>
        <w:wordWrap/>
        <w:overflowPunct/>
        <w:topLinePunct w:val="0"/>
        <w:autoSpaceDE/>
        <w:bidi w:val="0"/>
        <w:adjustRightInd/>
        <w:snapToGrid/>
        <w:spacing w:line="560" w:lineRule="exact"/>
        <w:ind w:left="0" w:leftChars="0" w:right="0" w:rightChars="0" w:firstLine="594"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7.继续跟进基干民兵通信保障分队相关工作。</w:t>
      </w:r>
    </w:p>
    <w:p>
      <w:pPr>
        <w:keepNext w:val="0"/>
        <w:keepLines w:val="0"/>
        <w:pageBreakBefore w:val="0"/>
        <w:kinsoku/>
        <w:wordWrap/>
        <w:overflowPunct/>
        <w:topLinePunct w:val="0"/>
        <w:autoSpaceDE/>
        <w:bidi w:val="0"/>
        <w:adjustRightInd/>
        <w:snapToGrid/>
        <w:spacing w:line="560" w:lineRule="exact"/>
        <w:ind w:left="0" w:leftChars="0" w:right="0" w:rightChars="0" w:firstLine="594"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8.完成人口普查工作。</w:t>
      </w:r>
    </w:p>
    <w:p>
      <w:pPr>
        <w:topLinePunct/>
        <w:ind w:firstLine="594" w:firstLineChars="200"/>
        <w:rPr>
          <w:rFonts w:ascii="仿宋_GB2312"/>
          <w:szCs w:val="32"/>
        </w:rPr>
      </w:pPr>
      <w:r>
        <w:rPr>
          <w:rFonts w:hint="eastAsia" w:ascii="仿宋_GB2312"/>
          <w:szCs w:val="32"/>
        </w:rPr>
        <w:t>（二）主要经验做法、改进措施和有关建议等。</w:t>
      </w:r>
    </w:p>
    <w:p>
      <w:pPr>
        <w:pageBreakBefore w:val="0"/>
        <w:shd w:val="clear" w:color="000000" w:fill="FFFFFF"/>
        <w:kinsoku/>
        <w:wordWrap/>
        <w:overflowPunct/>
        <w:topLinePunct w:val="0"/>
        <w:autoSpaceDE/>
        <w:bidi w:val="0"/>
        <w:spacing w:line="560" w:lineRule="exact"/>
        <w:ind w:firstLine="594" w:firstLineChars="200"/>
        <w:jc w:val="left"/>
        <w:rPr>
          <w:rFonts w:hint="eastAsia" w:ascii="仿宋_GB2312" w:hAnsi="仿宋_GB2312" w:eastAsia="仿宋_GB2312" w:cs="仿宋_GB2312"/>
          <w:kern w:val="2"/>
          <w:sz w:val="32"/>
          <w:szCs w:val="32"/>
          <w:highlight w:val="none"/>
          <w:vertAlign w:val="baseline"/>
          <w:lang w:val="en-US" w:eastAsia="zh-CN" w:bidi="ar-SA"/>
        </w:rPr>
      </w:pPr>
      <w:r>
        <w:rPr>
          <w:rFonts w:hint="eastAsia" w:ascii="仿宋_GB2312" w:hAnsi="仿宋_GB2312" w:eastAsia="仿宋_GB2312" w:cs="仿宋_GB2312"/>
          <w:kern w:val="2"/>
          <w:sz w:val="32"/>
          <w:szCs w:val="32"/>
          <w:highlight w:val="none"/>
          <w:vertAlign w:val="baseline"/>
          <w:lang w:val="en-US" w:eastAsia="zh-CN" w:bidi="ar-SA"/>
        </w:rPr>
        <w:t>（一）呈贡区工业企业必须进一步增强忧患意识，全面提升科技、产业、品牌、人才、企业等核心竞争力，切实变先发优势为竞争优势，努力在推动工业经济高质量发展上下功夫。以提高自主创新能力为核心，坚持引进技术与自主创新相结合，大力提高工业经济的科技含量。重视区域发展的协调性，加强区域内规划的引领、衔接、统一，优化区域工业经济发展布局，明确发展重点和方向，有效整合发展资源，聚集发展要素，推进街道之间、园区之间、不同业态之间、核心区和托管区之间优势互补、错位发展，避免发展中的重复建设和无序竞争。</w:t>
      </w:r>
    </w:p>
    <w:p>
      <w:pPr>
        <w:pStyle w:val="2"/>
        <w:pageBreakBefore w:val="0"/>
        <w:kinsoku/>
        <w:wordWrap/>
        <w:overflowPunct/>
        <w:topLinePunct w:val="0"/>
        <w:autoSpaceDE/>
        <w:bidi w:val="0"/>
        <w:spacing w:line="560" w:lineRule="exact"/>
        <w:ind w:firstLine="594" w:firstLineChars="200"/>
        <w:rPr>
          <w:rFonts w:hint="eastAsia" w:eastAsia="仿宋_GB2312"/>
          <w:lang w:eastAsia="zh-CN"/>
        </w:rPr>
      </w:pPr>
      <w:r>
        <w:rPr>
          <w:rFonts w:hint="eastAsia" w:ascii="仿宋_GB2312" w:hAnsi="仿宋_GB2312" w:eastAsia="仿宋_GB2312" w:cs="仿宋_GB2312"/>
          <w:sz w:val="32"/>
          <w:szCs w:val="32"/>
          <w:lang w:eastAsia="zh-CN"/>
        </w:rPr>
        <w:t>（二）加强区域科技政策体系建设，加快研究制定切实有效的促进区域经济、产业、科技、教育、财政、税收、干部人事等配套政策和实施细则，形成可操作的具体实施计划和工作方案，确保相关政策的有效衔接给予落实到位。建立健全科技管理廉政风险防控体系，促进科技创新治理水平和治理能力现代化。</w:t>
      </w:r>
    </w:p>
    <w:p>
      <w:pPr>
        <w:pStyle w:val="2"/>
        <w:pageBreakBefore w:val="0"/>
        <w:kinsoku/>
        <w:wordWrap/>
        <w:overflowPunct/>
        <w:topLinePunct w:val="0"/>
        <w:autoSpaceDE/>
        <w:bidi w:val="0"/>
        <w:spacing w:line="560" w:lineRule="exact"/>
        <w:ind w:left="0" w:leftChars="0" w:firstLine="594" w:firstLineChars="200"/>
        <w:rPr>
          <w:rFonts w:hint="default" w:ascii="Times New Roman" w:hAnsi="Times New Roman" w:eastAsia="仿宋_GB2312" w:cs="Times New Roman"/>
          <w:sz w:val="32"/>
          <w:szCs w:val="32"/>
        </w:rPr>
      </w:pPr>
    </w:p>
    <w:p/>
    <w:sectPr>
      <w:pgSz w:w="11906" w:h="16838"/>
      <w:pgMar w:top="1723" w:right="1800" w:bottom="1723" w:left="1800" w:header="851" w:footer="992" w:gutter="0"/>
      <w:cols w:space="0" w:num="1"/>
      <w:rtlGutter w:val="0"/>
      <w:docGrid w:type="linesAndChars" w:linePitch="608" w:charSpace="-47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605EAF"/>
    <w:multiLevelType w:val="singleLevel"/>
    <w:tmpl w:val="93605EAF"/>
    <w:lvl w:ilvl="0" w:tentative="0">
      <w:start w:val="1"/>
      <w:numFmt w:val="decimal"/>
      <w:suff w:val="nothing"/>
      <w:lvlText w:val="%1、"/>
      <w:lvlJc w:val="left"/>
    </w:lvl>
  </w:abstractNum>
  <w:abstractNum w:abstractNumId="1">
    <w:nsid w:val="ED3B56B2"/>
    <w:multiLevelType w:val="singleLevel"/>
    <w:tmpl w:val="ED3B56B2"/>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48"/>
  <w:drawingGridVerticalSpacing w:val="304"/>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453CD"/>
    <w:rsid w:val="05AE36CA"/>
    <w:rsid w:val="0CAA2942"/>
    <w:rsid w:val="21155FD7"/>
    <w:rsid w:val="24A106F3"/>
    <w:rsid w:val="2D5F4689"/>
    <w:rsid w:val="30144456"/>
    <w:rsid w:val="378A5996"/>
    <w:rsid w:val="435F133E"/>
    <w:rsid w:val="484122D1"/>
    <w:rsid w:val="4E6A1F53"/>
    <w:rsid w:val="5A39534A"/>
    <w:rsid w:val="5A3C6978"/>
    <w:rsid w:val="67600811"/>
    <w:rsid w:val="7CED572B"/>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customStyle="1" w:styleId="2">
    <w:name w:val="列出段落1"/>
    <w:basedOn w:val="1"/>
    <w:qFormat/>
    <w:uiPriority w:val="99"/>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jyjcg</dc:creator>
  <cp:lastModifiedBy>Administrator</cp:lastModifiedBy>
  <dcterms:modified xsi:type="dcterms:W3CDTF">2022-01-24T08:32:49Z</dcterms:modified>
  <dc:title>附件4-2:</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y fmtid="{D5CDD505-2E9C-101B-9397-08002B2CF9AE}" pid="3" name="ICV">
    <vt:lpwstr>BDBD2E8D45E948DD95A3F56435B0228E</vt:lpwstr>
  </property>
</Properties>
</file>