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Theme="majorEastAsia" w:hAnsiTheme="majorEastAsia" w:eastAsiaTheme="majorEastAsia"/>
          <w:sz w:val="44"/>
          <w:szCs w:val="44"/>
        </w:rPr>
      </w:pPr>
    </w:p>
    <w:p>
      <w:pPr>
        <w:spacing w:line="500" w:lineRule="exact"/>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云南师范大学附属呈贡幼儿园</w:t>
      </w:r>
    </w:p>
    <w:p>
      <w:pPr>
        <w:spacing w:line="500" w:lineRule="exact"/>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2016年部门决算编制情况说明</w:t>
      </w:r>
    </w:p>
    <w:p>
      <w:pPr>
        <w:spacing w:line="500" w:lineRule="exact"/>
        <w:rPr>
          <w:rFonts w:hint="eastAsia" w:asciiTheme="minorEastAsia" w:hAnsiTheme="minorEastAsia"/>
          <w:sz w:val="28"/>
          <w:szCs w:val="28"/>
        </w:rPr>
      </w:pPr>
    </w:p>
    <w:p>
      <w:pPr>
        <w:spacing w:line="500" w:lineRule="exact"/>
        <w:ind w:firstLine="700" w:firstLineChars="250"/>
        <w:rPr>
          <w:rFonts w:hint="eastAsia" w:asciiTheme="minorEastAsia" w:hAnsiTheme="minorEastAsia"/>
          <w:sz w:val="28"/>
          <w:szCs w:val="28"/>
        </w:rPr>
      </w:pPr>
      <w:r>
        <w:rPr>
          <w:rFonts w:hint="eastAsia" w:asciiTheme="minorEastAsia" w:hAnsiTheme="minorEastAsia"/>
          <w:sz w:val="28"/>
          <w:szCs w:val="28"/>
        </w:rPr>
        <w:t>按照中央、省、市、区关于部门决算公开的相关规定，现将本单位2016年部门决算收支情况及“三公”经费支出情况公开如下：</w:t>
      </w:r>
    </w:p>
    <w:p>
      <w:pPr>
        <w:pStyle w:val="5"/>
        <w:shd w:val="clear" w:color="auto" w:fill="FFFFFF"/>
        <w:spacing w:before="0" w:beforeAutospacing="0" w:after="0" w:afterAutospacing="0" w:line="50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一、基本职能及主要工作：</w:t>
      </w:r>
    </w:p>
    <w:p>
      <w:pPr>
        <w:pStyle w:val="5"/>
        <w:shd w:val="clear" w:color="auto" w:fill="FFFFFF"/>
        <w:spacing w:before="0" w:beforeAutospacing="0" w:after="0" w:afterAutospacing="0" w:line="500" w:lineRule="exact"/>
        <w:ind w:firstLine="580" w:firstLineChars="200"/>
        <w:rPr>
          <w:rFonts w:hint="eastAsia" w:asciiTheme="minorEastAsia" w:hAnsiTheme="minorEastAsia" w:eastAsiaTheme="minorEastAsia"/>
          <w:sz w:val="28"/>
          <w:szCs w:val="28"/>
        </w:rPr>
      </w:pPr>
      <w:r>
        <w:rPr>
          <w:rFonts w:hint="eastAsia" w:asciiTheme="minorEastAsia" w:hAnsiTheme="minorEastAsia" w:eastAsiaTheme="minorEastAsia"/>
          <w:color w:val="000000"/>
          <w:spacing w:val="5"/>
          <w:sz w:val="28"/>
          <w:szCs w:val="28"/>
        </w:rPr>
        <w:t>主要职能</w:t>
      </w:r>
      <w:r>
        <w:rPr>
          <w:rFonts w:hint="eastAsia" w:asciiTheme="minorEastAsia" w:hAnsiTheme="minorEastAsia" w:eastAsiaTheme="minorEastAsia"/>
          <w:color w:val="000000"/>
          <w:spacing w:val="9"/>
          <w:sz w:val="28"/>
          <w:szCs w:val="28"/>
        </w:rPr>
        <w:t>：贯彻国家教育方针，依法开办幼儿教育任务；</w:t>
      </w:r>
      <w:r>
        <w:rPr>
          <w:rFonts w:hint="eastAsia" w:asciiTheme="minorEastAsia" w:hAnsiTheme="minorEastAsia" w:eastAsiaTheme="minorEastAsia"/>
          <w:color w:val="000000"/>
          <w:spacing w:val="2"/>
          <w:sz w:val="28"/>
          <w:szCs w:val="28"/>
        </w:rPr>
        <w:t>坚持社会主义办学方向，实施素质教育，组织学</w:t>
      </w:r>
      <w:r>
        <w:rPr>
          <w:rFonts w:hint="eastAsia" w:asciiTheme="minorEastAsia" w:hAnsiTheme="minorEastAsia" w:eastAsiaTheme="minorEastAsia"/>
          <w:color w:val="000000"/>
          <w:spacing w:val="10"/>
          <w:sz w:val="28"/>
          <w:szCs w:val="28"/>
        </w:rPr>
        <w:t>生学习德、智、体、美、劳等知识；</w:t>
      </w:r>
      <w:r>
        <w:rPr>
          <w:rFonts w:hint="eastAsia" w:asciiTheme="minorEastAsia" w:hAnsiTheme="minorEastAsia" w:eastAsiaTheme="minorEastAsia"/>
          <w:color w:val="000000"/>
          <w:spacing w:val="9"/>
          <w:sz w:val="28"/>
          <w:szCs w:val="28"/>
        </w:rPr>
        <w:t>培养学生创新精神和实践能力；</w:t>
      </w:r>
      <w:r>
        <w:rPr>
          <w:rFonts w:hint="eastAsia" w:asciiTheme="minorEastAsia" w:hAnsiTheme="minorEastAsia" w:eastAsiaTheme="minorEastAsia"/>
          <w:color w:val="000000"/>
          <w:spacing w:val="8"/>
          <w:sz w:val="28"/>
          <w:szCs w:val="28"/>
        </w:rPr>
        <w:t>依法维护学生的合法权益。2016年3月我园由民办转为公办，同年10月才开设银行帐户，全园教职工在园长的领导下耗费了大量的精力确保了我园在转型过程中的平稳过渡，确保了幼儿园工作的正常运转。</w:t>
      </w:r>
    </w:p>
    <w:p>
      <w:pPr>
        <w:pStyle w:val="4"/>
        <w:spacing w:line="500" w:lineRule="exact"/>
        <w:ind w:left="420" w:leftChars="200" w:firstLine="280" w:firstLineChars="100"/>
        <w:rPr>
          <w:rFonts w:hint="eastAsia" w:asciiTheme="minorEastAsia" w:hAnsiTheme="minorEastAsia"/>
          <w:sz w:val="28"/>
          <w:szCs w:val="28"/>
        </w:rPr>
      </w:pPr>
      <w:r>
        <w:rPr>
          <w:rFonts w:hint="eastAsia" w:asciiTheme="minorEastAsia" w:hAnsiTheme="minorEastAsia"/>
          <w:sz w:val="28"/>
          <w:szCs w:val="28"/>
        </w:rPr>
        <w:t>二、部门基本情况</w:t>
      </w:r>
    </w:p>
    <w:p>
      <w:pPr>
        <w:spacing w:line="500" w:lineRule="exact"/>
        <w:rPr>
          <w:rFonts w:hint="eastAsia" w:asciiTheme="minorEastAsia" w:hAnsiTheme="minorEastAsia"/>
          <w:sz w:val="28"/>
          <w:szCs w:val="28"/>
        </w:rPr>
      </w:pPr>
      <w:r>
        <w:rPr>
          <w:rFonts w:hint="eastAsia" w:asciiTheme="minorEastAsia" w:hAnsiTheme="minorEastAsia"/>
          <w:sz w:val="28"/>
          <w:szCs w:val="28"/>
        </w:rPr>
        <w:t>2016年，在编实有人数8人，财政全额供养6人，特岗2人，无车辆，无离退休人员。</w:t>
      </w:r>
    </w:p>
    <w:p>
      <w:pPr>
        <w:pStyle w:val="4"/>
        <w:spacing w:line="500" w:lineRule="exact"/>
        <w:ind w:left="420" w:leftChars="200" w:firstLine="280" w:firstLineChars="100"/>
        <w:rPr>
          <w:rFonts w:hint="eastAsia" w:asciiTheme="minorEastAsia" w:hAnsiTheme="minorEastAsia"/>
          <w:sz w:val="28"/>
          <w:szCs w:val="28"/>
        </w:rPr>
      </w:pPr>
      <w:r>
        <w:rPr>
          <w:rFonts w:hint="eastAsia" w:asciiTheme="minorEastAsia" w:hAnsiTheme="minorEastAsia"/>
          <w:sz w:val="28"/>
          <w:szCs w:val="28"/>
        </w:rPr>
        <w:t>三、部门决算总体情况</w:t>
      </w:r>
    </w:p>
    <w:p>
      <w:pPr>
        <w:spacing w:line="500" w:lineRule="exact"/>
        <w:rPr>
          <w:rFonts w:hint="eastAsia" w:asciiTheme="minorEastAsia" w:hAnsiTheme="minorEastAsia"/>
          <w:sz w:val="28"/>
          <w:szCs w:val="28"/>
        </w:rPr>
      </w:pPr>
      <w:r>
        <w:rPr>
          <w:rFonts w:hint="eastAsia" w:asciiTheme="minorEastAsia" w:hAnsiTheme="minorEastAsia"/>
          <w:sz w:val="28"/>
          <w:szCs w:val="28"/>
        </w:rPr>
        <w:t>2016年是师大附属呈贡幼儿园决算总收入2505468.87元，其中财政</w:t>
      </w:r>
      <w:r>
        <w:rPr>
          <w:rFonts w:hint="eastAsia" w:asciiTheme="minorEastAsia" w:hAnsiTheme="minorEastAsia"/>
          <w:sz w:val="28"/>
          <w:szCs w:val="28"/>
          <w:lang w:val="en-US" w:eastAsia="zh-CN"/>
        </w:rPr>
        <w:t>拨款</w:t>
      </w:r>
      <w:r>
        <w:rPr>
          <w:rFonts w:hint="eastAsia" w:asciiTheme="minorEastAsia" w:hAnsiTheme="minorEastAsia"/>
          <w:sz w:val="28"/>
          <w:szCs w:val="28"/>
        </w:rPr>
        <w:t>收入 1910914.2  元占总收入的76.27% ，事业收入594323元占总收入的23.72% ，其他收入 231.67 元占总收入的0.01%。部门决算总支出 989656.12元，其中：基本支出118750.2元，占总支出的 12%,日常公用支出2700元,其中商品服务支出2700元，占总支出的0.27%,项目支出273651.25 元占总支出的 27.65 %，上缴上级支出594554.67 元占总支出的  60.08%。</w:t>
      </w:r>
    </w:p>
    <w:p>
      <w:pPr>
        <w:spacing w:line="500" w:lineRule="exact"/>
        <w:jc w:val="left"/>
        <w:rPr>
          <w:rFonts w:hint="eastAsia" w:asciiTheme="minorEastAsia" w:hAnsiTheme="minorEastAsia"/>
          <w:sz w:val="28"/>
          <w:szCs w:val="28"/>
        </w:rPr>
      </w:pPr>
      <w:r>
        <w:rPr>
          <w:rFonts w:hint="eastAsia" w:asciiTheme="minorEastAsia" w:hAnsiTheme="minorEastAsia"/>
          <w:sz w:val="28"/>
          <w:szCs w:val="28"/>
        </w:rPr>
        <w:t xml:space="preserve">    （一）、基本支出情况。2016年用于保障单位正常运转的基本支出121450.2元，其中，基本工资，津贴补贴等 人员经费支出点基本支出的97.78%;办公经费等日常公用经费占基本支出的2.22%.</w:t>
      </w:r>
    </w:p>
    <w:p>
      <w:pPr>
        <w:spacing w:line="500" w:lineRule="exact"/>
        <w:ind w:left="420" w:leftChars="200" w:firstLine="420" w:firstLineChars="150"/>
        <w:rPr>
          <w:rFonts w:hint="eastAsia" w:asciiTheme="minorEastAsia" w:hAnsiTheme="minorEastAsia"/>
          <w:sz w:val="28"/>
          <w:szCs w:val="28"/>
        </w:rPr>
      </w:pPr>
      <w:r>
        <w:rPr>
          <w:rFonts w:hint="eastAsia" w:asciiTheme="minorEastAsia" w:hAnsiTheme="minorEastAsia"/>
          <w:sz w:val="28"/>
          <w:szCs w:val="28"/>
        </w:rPr>
        <w:t>（二）2016年度为保障完成特定的行政工作任务或事业发展目标，用于专项业务工作的经费支出273651.25元。</w:t>
      </w:r>
    </w:p>
    <w:p>
      <w:pPr>
        <w:pStyle w:val="4"/>
        <w:spacing w:line="500" w:lineRule="exact"/>
        <w:ind w:left="420" w:leftChars="200" w:firstLine="560"/>
        <w:rPr>
          <w:rFonts w:hint="eastAsia" w:asciiTheme="minorEastAsia" w:hAnsiTheme="minorEastAsia"/>
          <w:sz w:val="28"/>
          <w:szCs w:val="28"/>
        </w:rPr>
      </w:pPr>
      <w:r>
        <w:rPr>
          <w:rFonts w:hint="eastAsia" w:asciiTheme="minorEastAsia" w:hAnsiTheme="minorEastAsia"/>
          <w:sz w:val="28"/>
          <w:szCs w:val="28"/>
        </w:rPr>
        <w:t>四、公共预算财政</w:t>
      </w:r>
      <w:r>
        <w:rPr>
          <w:rFonts w:hint="eastAsia" w:asciiTheme="minorEastAsia" w:hAnsiTheme="minorEastAsia"/>
          <w:sz w:val="28"/>
          <w:szCs w:val="28"/>
          <w:lang w:val="en-US" w:eastAsia="zh-CN"/>
        </w:rPr>
        <w:t>拨款</w:t>
      </w:r>
      <w:r>
        <w:rPr>
          <w:rFonts w:hint="eastAsia" w:asciiTheme="minorEastAsia" w:hAnsiTheme="minorEastAsia"/>
          <w:sz w:val="28"/>
          <w:szCs w:val="28"/>
        </w:rPr>
        <w:t>支出决算情况</w:t>
      </w:r>
    </w:p>
    <w:p>
      <w:pPr>
        <w:pStyle w:val="4"/>
        <w:spacing w:line="500" w:lineRule="exact"/>
        <w:ind w:left="420" w:leftChars="200" w:firstLine="560"/>
        <w:rPr>
          <w:rFonts w:hint="eastAsia" w:asciiTheme="minorEastAsia" w:hAnsiTheme="minorEastAsia"/>
          <w:sz w:val="28"/>
          <w:szCs w:val="28"/>
        </w:rPr>
      </w:pPr>
      <w:r>
        <w:rPr>
          <w:rFonts w:hint="eastAsia" w:asciiTheme="minorEastAsia" w:hAnsiTheme="minorEastAsia"/>
          <w:sz w:val="28"/>
          <w:szCs w:val="28"/>
        </w:rPr>
        <w:t>2016年部门公共预算财政</w:t>
      </w:r>
      <w:r>
        <w:rPr>
          <w:rFonts w:hint="eastAsia" w:asciiTheme="minorEastAsia" w:hAnsiTheme="minorEastAsia"/>
          <w:sz w:val="28"/>
          <w:szCs w:val="28"/>
          <w:lang w:val="en-US" w:eastAsia="zh-CN"/>
        </w:rPr>
        <w:t>拨款</w:t>
      </w:r>
      <w:r>
        <w:rPr>
          <w:rFonts w:hint="eastAsia" w:asciiTheme="minorEastAsia" w:hAnsiTheme="minorEastAsia"/>
          <w:sz w:val="28"/>
          <w:szCs w:val="28"/>
        </w:rPr>
        <w:t>支出273651.25元占本支的27.65%，用于一般公共服务支出和教育支出。</w:t>
      </w:r>
    </w:p>
    <w:p>
      <w:pPr>
        <w:pStyle w:val="4"/>
        <w:spacing w:line="500" w:lineRule="exact"/>
        <w:ind w:left="420" w:leftChars="200" w:firstLine="560"/>
        <w:rPr>
          <w:rFonts w:hint="eastAsia" w:asciiTheme="minorEastAsia" w:hAnsiTheme="minorEastAsia"/>
          <w:sz w:val="28"/>
          <w:szCs w:val="28"/>
        </w:rPr>
      </w:pPr>
      <w:r>
        <w:rPr>
          <w:rFonts w:hint="eastAsia" w:asciiTheme="minorEastAsia" w:hAnsiTheme="minorEastAsia"/>
          <w:sz w:val="28"/>
          <w:szCs w:val="28"/>
        </w:rPr>
        <w:t>五、“三公”经费决算情况说明</w:t>
      </w:r>
    </w:p>
    <w:p>
      <w:pPr>
        <w:pStyle w:val="4"/>
        <w:spacing w:line="500" w:lineRule="exact"/>
        <w:ind w:left="420" w:leftChars="200" w:firstLine="560"/>
        <w:rPr>
          <w:rFonts w:hint="eastAsia" w:asciiTheme="minorEastAsia" w:hAnsiTheme="minorEastAsia"/>
          <w:sz w:val="28"/>
          <w:szCs w:val="28"/>
        </w:rPr>
      </w:pPr>
      <w:r>
        <w:rPr>
          <w:rFonts w:hint="eastAsia" w:asciiTheme="minorEastAsia" w:hAnsiTheme="minorEastAsia"/>
          <w:sz w:val="28"/>
          <w:szCs w:val="28"/>
        </w:rPr>
        <w:t>师大附属呈贡幼儿园2016年财政</w:t>
      </w:r>
      <w:r>
        <w:rPr>
          <w:rFonts w:hint="eastAsia" w:asciiTheme="minorEastAsia" w:hAnsiTheme="minorEastAsia"/>
          <w:sz w:val="28"/>
          <w:szCs w:val="28"/>
          <w:lang w:val="en-US" w:eastAsia="zh-CN"/>
        </w:rPr>
        <w:t>拨款</w:t>
      </w:r>
      <w:bookmarkStart w:id="0" w:name="_GoBack"/>
      <w:bookmarkEnd w:id="0"/>
      <w:r>
        <w:rPr>
          <w:rFonts w:hint="eastAsia" w:asciiTheme="minorEastAsia" w:hAnsiTheme="minorEastAsia"/>
          <w:sz w:val="28"/>
          <w:szCs w:val="28"/>
        </w:rPr>
        <w:t>“三公”经费决算总额0元，无因公出国（境）费用、公务用车购置及运行维护费及公务接待费的支出。</w:t>
      </w:r>
    </w:p>
    <w:p>
      <w:pPr>
        <w:pStyle w:val="4"/>
        <w:spacing w:line="500" w:lineRule="exact"/>
        <w:ind w:left="420" w:leftChars="200" w:firstLine="560"/>
        <w:rPr>
          <w:rFonts w:hint="eastAsia" w:asciiTheme="minorEastAsia" w:hAnsiTheme="minorEastAsia"/>
          <w:sz w:val="28"/>
          <w:szCs w:val="28"/>
        </w:rPr>
      </w:pPr>
    </w:p>
    <w:p>
      <w:pPr>
        <w:pStyle w:val="4"/>
        <w:spacing w:line="500" w:lineRule="exact"/>
        <w:ind w:left="420" w:leftChars="200" w:firstLine="560"/>
        <w:rPr>
          <w:rFonts w:hint="eastAsia" w:asciiTheme="minorEastAsia" w:hAnsiTheme="minorEastAsia"/>
          <w:sz w:val="28"/>
          <w:szCs w:val="28"/>
        </w:rPr>
      </w:pPr>
    </w:p>
    <w:p>
      <w:pPr>
        <w:pStyle w:val="4"/>
        <w:spacing w:line="500" w:lineRule="exact"/>
        <w:ind w:left="420" w:leftChars="200" w:firstLine="560"/>
        <w:rPr>
          <w:rFonts w:hint="eastAsia" w:asciiTheme="minorEastAsia" w:hAnsiTheme="minorEastAsia"/>
          <w:sz w:val="28"/>
          <w:szCs w:val="28"/>
        </w:rPr>
      </w:pPr>
    </w:p>
    <w:p>
      <w:pPr>
        <w:pStyle w:val="4"/>
        <w:spacing w:line="500" w:lineRule="exact"/>
        <w:ind w:left="420" w:leftChars="200" w:firstLine="560"/>
        <w:rPr>
          <w:rFonts w:hint="eastAsia" w:asciiTheme="minorEastAsia" w:hAnsiTheme="minorEastAsia"/>
          <w:sz w:val="28"/>
          <w:szCs w:val="28"/>
        </w:rPr>
      </w:pPr>
    </w:p>
    <w:p>
      <w:pPr>
        <w:pStyle w:val="4"/>
        <w:spacing w:line="500" w:lineRule="exact"/>
        <w:ind w:left="420" w:leftChars="200" w:firstLine="2520" w:firstLineChars="900"/>
        <w:rPr>
          <w:rFonts w:hint="eastAsia" w:asciiTheme="minorEastAsia" w:hAnsiTheme="minorEastAsia"/>
          <w:sz w:val="28"/>
          <w:szCs w:val="28"/>
        </w:rPr>
      </w:pPr>
    </w:p>
    <w:p>
      <w:pPr>
        <w:pStyle w:val="4"/>
        <w:spacing w:line="500" w:lineRule="exact"/>
        <w:ind w:left="420" w:leftChars="200" w:firstLine="2520" w:firstLineChars="900"/>
        <w:rPr>
          <w:rFonts w:hint="eastAsia" w:asciiTheme="minorEastAsia" w:hAnsiTheme="minorEastAsia"/>
          <w:sz w:val="28"/>
          <w:szCs w:val="28"/>
        </w:rPr>
      </w:pPr>
    </w:p>
    <w:p>
      <w:pPr>
        <w:pStyle w:val="4"/>
        <w:spacing w:line="500" w:lineRule="exact"/>
        <w:ind w:left="420" w:leftChars="200" w:firstLine="2520" w:firstLineChars="900"/>
        <w:rPr>
          <w:rFonts w:hint="eastAsia" w:asciiTheme="minorEastAsia" w:hAnsiTheme="minorEastAsia"/>
          <w:sz w:val="28"/>
          <w:szCs w:val="28"/>
        </w:rPr>
      </w:pPr>
    </w:p>
    <w:p>
      <w:pPr>
        <w:pStyle w:val="4"/>
        <w:spacing w:line="500" w:lineRule="exact"/>
        <w:ind w:left="420" w:leftChars="200" w:firstLine="2520" w:firstLineChars="900"/>
        <w:rPr>
          <w:rFonts w:hint="eastAsia" w:asciiTheme="minorEastAsia" w:hAnsiTheme="minorEastAsia"/>
          <w:sz w:val="28"/>
          <w:szCs w:val="28"/>
        </w:rPr>
      </w:pPr>
      <w:r>
        <w:rPr>
          <w:rFonts w:hint="eastAsia" w:asciiTheme="minorEastAsia" w:hAnsiTheme="minorEastAsia"/>
          <w:sz w:val="28"/>
          <w:szCs w:val="28"/>
        </w:rPr>
        <w:t>云南师范大学附属呈贡幼儿园</w:t>
      </w:r>
    </w:p>
    <w:p>
      <w:pPr>
        <w:pStyle w:val="4"/>
        <w:spacing w:line="500" w:lineRule="exact"/>
        <w:ind w:left="420" w:leftChars="200" w:firstLine="2940" w:firstLineChars="1050"/>
        <w:rPr>
          <w:rFonts w:hint="eastAsia" w:asciiTheme="minorEastAsia" w:hAnsiTheme="minorEastAsia"/>
          <w:sz w:val="28"/>
          <w:szCs w:val="28"/>
        </w:rPr>
      </w:pPr>
      <w:r>
        <w:rPr>
          <w:rFonts w:hint="eastAsia" w:asciiTheme="minorEastAsia" w:hAnsiTheme="minorEastAsia"/>
          <w:sz w:val="28"/>
          <w:szCs w:val="28"/>
        </w:rPr>
        <w:t>二〇一七年十月二十五日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7578"/>
    <w:rsid w:val="00037686"/>
    <w:rsid w:val="001609E9"/>
    <w:rsid w:val="00383A2D"/>
    <w:rsid w:val="00391690"/>
    <w:rsid w:val="00497578"/>
    <w:rsid w:val="00523DDD"/>
    <w:rsid w:val="008B73E7"/>
    <w:rsid w:val="008E05C7"/>
    <w:rsid w:val="00A53246"/>
    <w:rsid w:val="00BE376C"/>
    <w:rsid w:val="00D17764"/>
    <w:rsid w:val="00D55315"/>
    <w:rsid w:val="00E047EF"/>
    <w:rsid w:val="546678B5"/>
    <w:rsid w:val="5DF80198"/>
    <w:rsid w:val="76D13EEE"/>
    <w:rsid w:val="7A6D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139</Words>
  <Characters>797</Characters>
  <Lines>6</Lines>
  <Paragraphs>1</Paragraphs>
  <TotalTime>143</TotalTime>
  <ScaleCrop>false</ScaleCrop>
  <LinksUpToDate>false</LinksUpToDate>
  <CharactersWithSpaces>935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2017-10-25T00:34:00Z</dcterms:created>
  <dc:creator>Sky123.Org</dc:creator>
  <cp:lastModifiedBy>Administrator</cp:lastModifiedBy>
  <dcterms:modified xsi:type="dcterms:W3CDTF">2022-01-20T09:52:43Z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