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pPr>
      <w:r>
        <w:rPr>
          <w:rFonts w:hint="eastAsia"/>
        </w:rPr>
        <w:t>云南省</w:t>
      </w:r>
      <w:r>
        <w:rPr>
          <w:rFonts w:hint="eastAsia"/>
          <w:color w:val="000000"/>
        </w:rPr>
        <w:t>昆明市</w:t>
      </w:r>
    </w:p>
    <w:p>
      <w:pPr>
        <w:pStyle w:val="36"/>
      </w:pPr>
    </w:p>
    <w:p>
      <w:pPr>
        <w:pStyle w:val="36"/>
      </w:pPr>
    </w:p>
    <w:p>
      <w:pPr>
        <w:pStyle w:val="36"/>
      </w:pPr>
    </w:p>
    <w:p>
      <w:pPr>
        <w:pStyle w:val="37"/>
      </w:pPr>
      <w:r>
        <w:rPr>
          <w:rFonts w:hint="eastAsia"/>
        </w:rPr>
        <w:t>呈贡中心粮库政府和社会资本合作项目</w:t>
      </w:r>
    </w:p>
    <w:p>
      <w:pPr>
        <w:pStyle w:val="37"/>
      </w:pPr>
    </w:p>
    <w:p>
      <w:pPr>
        <w:pStyle w:val="38"/>
      </w:pPr>
      <w:r>
        <w:rPr>
          <w:rFonts w:hint="eastAsia"/>
        </w:rPr>
        <w:t>实施方案</w:t>
      </w: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9"/>
        <w:ind w:firstLine="0" w:firstLineChars="0"/>
        <w:jc w:val="center"/>
      </w:pPr>
      <w:r>
        <w:rPr>
          <w:rFonts w:hint="eastAsia"/>
        </w:rPr>
        <w:t>昆明市呈贡区粮食局</w:t>
      </w:r>
    </w:p>
    <w:p>
      <w:pPr>
        <w:pStyle w:val="39"/>
        <w:ind w:firstLine="0" w:firstLineChars="0"/>
        <w:jc w:val="center"/>
      </w:pPr>
      <w:r>
        <w:rPr>
          <w:rFonts w:hint="eastAsia"/>
        </w:rPr>
        <w:t>二</w:t>
      </w:r>
      <w:r>
        <w:rPr>
          <w:rFonts w:hint="eastAsia" w:cs="Calibri"/>
        </w:rPr>
        <w:t>〇</w:t>
      </w:r>
      <w:r>
        <w:rPr>
          <w:rFonts w:hint="eastAsia"/>
        </w:rPr>
        <w:t>一六年十二月</w:t>
      </w:r>
    </w:p>
    <w:p>
      <w:pPr>
        <w:pStyle w:val="39"/>
        <w:ind w:firstLine="643"/>
      </w:pPr>
    </w:p>
    <w:p>
      <w:pPr>
        <w:pStyle w:val="39"/>
        <w:ind w:firstLine="643"/>
      </w:pPr>
      <w:r>
        <w:br w:type="page"/>
      </w:r>
    </w:p>
    <w:p>
      <w:pPr>
        <w:pStyle w:val="39"/>
        <w:ind w:firstLine="643"/>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312" w:charSpace="0"/>
        </w:sectPr>
      </w:pPr>
    </w:p>
    <w:p>
      <w:pPr>
        <w:pStyle w:val="57"/>
        <w:rPr>
          <w:lang w:val="zh-CN"/>
        </w:rPr>
      </w:pPr>
      <w:r>
        <w:rPr>
          <w:rFonts w:hint="eastAsia"/>
          <w:lang w:val="zh-CN"/>
        </w:rPr>
        <w:t>目录</w:t>
      </w:r>
    </w:p>
    <w:p>
      <w:pPr>
        <w:pStyle w:val="57"/>
      </w:pPr>
    </w:p>
    <w:p>
      <w:pPr>
        <w:pStyle w:val="15"/>
        <w:ind w:firstLine="482"/>
        <w:rPr>
          <w:rFonts w:asciiTheme="minorHAnsi" w:hAnsiTheme="minorHAnsi" w:eastAsiaTheme="minorEastAsia" w:cstheme="minorBidi"/>
          <w:kern w:val="2"/>
          <w:sz w:val="21"/>
          <w:szCs w:val="22"/>
        </w:rPr>
      </w:pPr>
      <w:r>
        <w:fldChar w:fldCharType="begin"/>
      </w:r>
      <w:r>
        <w:instrText xml:space="preserve"> TOC \o "1-3" \h \z \u </w:instrText>
      </w:r>
      <w:r>
        <w:fldChar w:fldCharType="separate"/>
      </w:r>
      <w:r>
        <w:fldChar w:fldCharType="begin"/>
      </w:r>
      <w:r>
        <w:instrText xml:space="preserve"> HYPERLINK \l "_Toc468088586" </w:instrText>
      </w:r>
      <w:r>
        <w:fldChar w:fldCharType="separate"/>
      </w:r>
      <w:r>
        <w:rPr>
          <w:rStyle w:val="25"/>
          <w:rFonts w:hint="eastAsia" w:ascii="黑体" w:hAnsi="黑体" w:eastAsia="黑体" w:cs="黑体"/>
        </w:rPr>
        <w:t>一、项目基本情况</w:t>
      </w:r>
      <w:r>
        <w:tab/>
      </w:r>
      <w:r>
        <w:fldChar w:fldCharType="begin"/>
      </w:r>
      <w:r>
        <w:instrText xml:space="preserve"> PAGEREF _Toc468088586 \h </w:instrText>
      </w:r>
      <w:r>
        <w:fldChar w:fldCharType="separate"/>
      </w:r>
      <w:r>
        <w:t>1</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"_Toc468088587" </w:instrText>
      </w:r>
      <w:r>
        <w:fldChar w:fldCharType="separate"/>
      </w:r>
      <w:r>
        <w:rPr>
          <w:rStyle w:val="25"/>
          <w:rFonts w:ascii="Times New Roman" w:hAnsi="Times New Roman"/>
        </w:rPr>
        <w:t xml:space="preserve">1.1 </w:t>
      </w:r>
      <w:r>
        <w:rPr>
          <w:rStyle w:val="25"/>
          <w:rFonts w:hint="eastAsia" w:hAnsi="宋体" w:eastAsia="宋体" w:cs="宋体"/>
        </w:rPr>
        <w:t>项目名称</w:t>
      </w:r>
      <w:r>
        <w:tab/>
      </w:r>
      <w:r>
        <w:fldChar w:fldCharType="begin"/>
      </w:r>
      <w:r>
        <w:instrText xml:space="preserve"> PAGEREF _Toc468088587 \h </w:instrText>
      </w:r>
      <w:r>
        <w:fldChar w:fldCharType="separate"/>
      </w:r>
      <w:r>
        <w:t>1</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"_Toc468088588" </w:instrText>
      </w:r>
      <w:r>
        <w:fldChar w:fldCharType="separate"/>
      </w:r>
      <w:r>
        <w:rPr>
          <w:rStyle w:val="25"/>
          <w:rFonts w:ascii="Times New Roman" w:hAnsi="Times New Roman"/>
        </w:rPr>
        <w:t xml:space="preserve">1.2 </w:t>
      </w:r>
      <w:r>
        <w:rPr>
          <w:rStyle w:val="25"/>
          <w:rFonts w:hint="eastAsia" w:hAnsi="宋体" w:eastAsia="宋体" w:cs="宋体"/>
        </w:rPr>
        <w:t>项目类型</w:t>
      </w:r>
      <w:r>
        <w:tab/>
      </w:r>
      <w:r>
        <w:fldChar w:fldCharType="begin"/>
      </w:r>
      <w:r>
        <w:instrText xml:space="preserve"> PAGEREF _Toc468088588 \h </w:instrText>
      </w:r>
      <w:r>
        <w:fldChar w:fldCharType="separate"/>
      </w:r>
      <w:r>
        <w:t>1</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"_Toc468088589" </w:instrText>
      </w:r>
      <w:r>
        <w:fldChar w:fldCharType="separate"/>
      </w:r>
      <w:r>
        <w:rPr>
          <w:rStyle w:val="25"/>
          <w:rFonts w:ascii="Times New Roman" w:hAnsi="Times New Roman"/>
        </w:rPr>
        <w:t xml:space="preserve">1.3 </w:t>
      </w:r>
      <w:r>
        <w:rPr>
          <w:rStyle w:val="25"/>
          <w:rFonts w:hint="eastAsia" w:hAnsi="宋体" w:eastAsia="宋体" w:cs="宋体"/>
        </w:rPr>
        <w:t>建设地点</w:t>
      </w:r>
      <w:r>
        <w:tab/>
      </w:r>
      <w:r>
        <w:fldChar w:fldCharType="begin"/>
      </w:r>
      <w:r>
        <w:instrText xml:space="preserve"> PAGEREF _Toc468088589 \h </w:instrText>
      </w:r>
      <w:r>
        <w:fldChar w:fldCharType="separate"/>
      </w:r>
      <w:r>
        <w:t>1</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"_Toc468088590" </w:instrText>
      </w:r>
      <w:r>
        <w:fldChar w:fldCharType="separate"/>
      </w:r>
      <w:r>
        <w:rPr>
          <w:rStyle w:val="25"/>
          <w:rFonts w:ascii="Times New Roman" w:hAnsi="Times New Roman"/>
        </w:rPr>
        <w:t xml:space="preserve">1.4 </w:t>
      </w:r>
      <w:r>
        <w:rPr>
          <w:rStyle w:val="25"/>
          <w:rFonts w:hint="eastAsia" w:hAnsi="宋体" w:eastAsia="宋体" w:cs="宋体"/>
        </w:rPr>
        <w:t>实施背景</w:t>
      </w:r>
      <w:r>
        <w:tab/>
      </w:r>
      <w:r>
        <w:fldChar w:fldCharType="begin"/>
      </w:r>
      <w:r>
        <w:instrText xml:space="preserve"> PAGEREF _Toc468088590 \h </w:instrText>
      </w:r>
      <w:r>
        <w:fldChar w:fldCharType="separate"/>
      </w:r>
      <w:r>
        <w:t>1</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"_Toc468088591" </w:instrText>
      </w:r>
      <w:r>
        <w:fldChar w:fldCharType="separate"/>
      </w:r>
      <w:r>
        <w:rPr>
          <w:rStyle w:val="25"/>
          <w:rFonts w:ascii="Times New Roman" w:hAnsi="Times New Roman"/>
        </w:rPr>
        <w:t xml:space="preserve">1.5 </w:t>
      </w:r>
      <w:r>
        <w:rPr>
          <w:rStyle w:val="25"/>
          <w:rFonts w:hint="eastAsia" w:hAnsi="宋体" w:eastAsia="宋体" w:cs="宋体"/>
        </w:rPr>
        <w:t>项目示范推广价值</w:t>
      </w:r>
      <w:r>
        <w:tab/>
      </w:r>
      <w:r>
        <w:fldChar w:fldCharType="begin"/>
      </w:r>
      <w:r>
        <w:instrText xml:space="preserve"> PAGEREF _Toc468088591 \h </w:instrText>
      </w:r>
      <w:r>
        <w:fldChar w:fldCharType="separate"/>
      </w:r>
      <w:r>
        <w:t>2</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"_Toc468088592" </w:instrText>
      </w:r>
      <w:r>
        <w:fldChar w:fldCharType="separate"/>
      </w:r>
      <w:r>
        <w:rPr>
          <w:rStyle w:val="25"/>
          <w:rFonts w:ascii="Times New Roman" w:hAnsi="Times New Roman"/>
        </w:rPr>
        <w:t xml:space="preserve">1.6 </w:t>
      </w:r>
      <w:r>
        <w:rPr>
          <w:rStyle w:val="25"/>
          <w:rFonts w:hint="eastAsia" w:hAnsi="宋体" w:eastAsia="宋体" w:cs="宋体"/>
        </w:rPr>
        <w:t>建设内容</w:t>
      </w:r>
      <w:r>
        <w:tab/>
      </w:r>
      <w:r>
        <w:fldChar w:fldCharType="begin"/>
      </w:r>
      <w:r>
        <w:instrText xml:space="preserve"> PAGEREF _Toc468088592 \h </w:instrText>
      </w:r>
      <w:r>
        <w:fldChar w:fldCharType="separate"/>
      </w:r>
      <w:r>
        <w:t>3</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"_Toc468088593" </w:instrText>
      </w:r>
      <w:r>
        <w:fldChar w:fldCharType="separate"/>
      </w:r>
      <w:r>
        <w:rPr>
          <w:rStyle w:val="25"/>
          <w:rFonts w:ascii="Times New Roman" w:hAnsi="Times New Roman"/>
        </w:rPr>
        <w:t xml:space="preserve">1.7 </w:t>
      </w:r>
      <w:r>
        <w:rPr>
          <w:rStyle w:val="25"/>
          <w:rFonts w:hint="eastAsia" w:hAnsi="宋体" w:eastAsia="宋体" w:cs="宋体"/>
        </w:rPr>
        <w:t>技术指标</w:t>
      </w:r>
      <w:r>
        <w:tab/>
      </w:r>
      <w:r>
        <w:fldChar w:fldCharType="begin"/>
      </w:r>
      <w:r>
        <w:instrText xml:space="preserve"> PAGEREF _Toc468088593 \h </w:instrText>
      </w:r>
      <w:r>
        <w:fldChar w:fldCharType="separate"/>
      </w:r>
      <w:r>
        <w:t>4</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"_Toc468088594" </w:instrText>
      </w:r>
      <w:r>
        <w:fldChar w:fldCharType="separate"/>
      </w:r>
      <w:r>
        <w:rPr>
          <w:rStyle w:val="25"/>
          <w:rFonts w:ascii="Times New Roman" w:hAnsi="Times New Roman"/>
        </w:rPr>
        <w:t xml:space="preserve">1.8 </w:t>
      </w:r>
      <w:r>
        <w:rPr>
          <w:rStyle w:val="25"/>
          <w:rFonts w:hint="eastAsia" w:hAnsi="宋体" w:eastAsia="宋体" w:cs="宋体"/>
        </w:rPr>
        <w:t>投资规模</w:t>
      </w:r>
      <w:r>
        <w:tab/>
      </w:r>
      <w:r>
        <w:fldChar w:fldCharType="begin"/>
      </w:r>
      <w:r>
        <w:instrText xml:space="preserve"> PAGEREF _Toc468088594 \h </w:instrText>
      </w:r>
      <w:r>
        <w:fldChar w:fldCharType="separate"/>
      </w:r>
      <w:r>
        <w:t>6</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"_Toc468088595" </w:instrText>
      </w:r>
      <w:r>
        <w:fldChar w:fldCharType="separate"/>
      </w:r>
      <w:r>
        <w:rPr>
          <w:rStyle w:val="25"/>
          <w:rFonts w:ascii="Times New Roman" w:hAnsi="Times New Roman"/>
        </w:rPr>
        <w:t xml:space="preserve">1.9 </w:t>
      </w:r>
      <w:r>
        <w:rPr>
          <w:rStyle w:val="25"/>
          <w:rFonts w:hint="eastAsia" w:hAnsi="宋体" w:eastAsia="宋体" w:cs="宋体"/>
        </w:rPr>
        <w:t>主要产出说明</w:t>
      </w:r>
      <w:r>
        <w:tab/>
      </w:r>
      <w:r>
        <w:fldChar w:fldCharType="begin"/>
      </w:r>
      <w:r>
        <w:instrText xml:space="preserve"> PAGEREF _Toc468088595 \h </w:instrText>
      </w:r>
      <w:r>
        <w:fldChar w:fldCharType="separate"/>
      </w:r>
      <w:r>
        <w:t>6</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"_Toc468088596" </w:instrText>
      </w:r>
      <w:r>
        <w:fldChar w:fldCharType="separate"/>
      </w:r>
      <w:r>
        <w:rPr>
          <w:rStyle w:val="25"/>
          <w:rFonts w:ascii="Times New Roman" w:hAnsi="Times New Roman"/>
        </w:rPr>
        <w:t xml:space="preserve">1.10 </w:t>
      </w:r>
      <w:r>
        <w:rPr>
          <w:rStyle w:val="25"/>
          <w:rFonts w:hint="eastAsia" w:hAnsi="宋体" w:eastAsia="宋体" w:cs="宋体"/>
        </w:rPr>
        <w:t>项目前期工作</w:t>
      </w:r>
      <w:r>
        <w:tab/>
      </w:r>
      <w:r>
        <w:fldChar w:fldCharType="begin"/>
      </w:r>
      <w:r>
        <w:instrText xml:space="preserve"> PAGEREF _Toc468088596 \h </w:instrText>
      </w:r>
      <w:r>
        <w:fldChar w:fldCharType="separate"/>
      </w:r>
      <w:r>
        <w:t>7</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"_Toc468088597" </w:instrText>
      </w:r>
      <w:r>
        <w:fldChar w:fldCharType="separate"/>
      </w:r>
      <w:r>
        <w:rPr>
          <w:rStyle w:val="25"/>
          <w:rFonts w:ascii="Times New Roman" w:hAnsi="Times New Roman"/>
        </w:rPr>
        <w:t xml:space="preserve">1.11 </w:t>
      </w:r>
      <w:r>
        <w:rPr>
          <w:rStyle w:val="25"/>
          <w:rFonts w:hint="eastAsia" w:hAnsi="宋体" w:eastAsia="宋体" w:cs="宋体"/>
        </w:rPr>
        <w:t>采用</w:t>
      </w:r>
      <w:r>
        <w:rPr>
          <w:rStyle w:val="25"/>
          <w:rFonts w:ascii="Times New Roman" w:hAnsi="Times New Roman"/>
        </w:rPr>
        <w:t>PPP</w:t>
      </w:r>
      <w:r>
        <w:rPr>
          <w:rStyle w:val="25"/>
          <w:rFonts w:hint="eastAsia" w:hAnsi="宋体" w:eastAsia="宋体" w:cs="宋体"/>
        </w:rPr>
        <w:t>模式的必要性和可行性分析</w:t>
      </w:r>
      <w:r>
        <w:tab/>
      </w:r>
      <w:r>
        <w:fldChar w:fldCharType="begin"/>
      </w:r>
      <w:r>
        <w:instrText xml:space="preserve"> PAGEREF _Toc468088597 \h </w:instrText>
      </w:r>
      <w:r>
        <w:fldChar w:fldCharType="separate"/>
      </w:r>
      <w:r>
        <w:t>8</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"_Toc468088598" </w:instrText>
      </w:r>
      <w:r>
        <w:fldChar w:fldCharType="separate"/>
      </w:r>
      <w:r>
        <w:rPr>
          <w:rStyle w:val="25"/>
        </w:rPr>
        <w:t xml:space="preserve">1.11.1 </w:t>
      </w:r>
      <w:r>
        <w:rPr>
          <w:rStyle w:val="25"/>
          <w:rFonts w:hint="eastAsia"/>
        </w:rPr>
        <w:t>必要性分析</w:t>
      </w:r>
      <w:r>
        <w:tab/>
      </w:r>
      <w:r>
        <w:fldChar w:fldCharType="begin"/>
      </w:r>
      <w:r>
        <w:instrText xml:space="preserve"> PAGEREF _Toc468088598 \h </w:instrText>
      </w:r>
      <w:r>
        <w:fldChar w:fldCharType="separate"/>
      </w:r>
      <w:r>
        <w:t>8</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"_Toc468088599" </w:instrText>
      </w:r>
      <w:r>
        <w:fldChar w:fldCharType="separate"/>
      </w:r>
      <w:r>
        <w:rPr>
          <w:rStyle w:val="25"/>
        </w:rPr>
        <w:t xml:space="preserve">1.11.2 </w:t>
      </w:r>
      <w:r>
        <w:rPr>
          <w:rStyle w:val="25"/>
          <w:rFonts w:hint="eastAsia"/>
        </w:rPr>
        <w:t>可行性分析</w:t>
      </w:r>
      <w:r>
        <w:tab/>
      </w:r>
      <w:r>
        <w:fldChar w:fldCharType="begin"/>
      </w:r>
      <w:r>
        <w:instrText xml:space="preserve"> PAGEREF _Toc468088599 \h </w:instrText>
      </w:r>
      <w:r>
        <w:fldChar w:fldCharType="separate"/>
      </w:r>
      <w:r>
        <w:t>9</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"_Toc468088600" </w:instrText>
      </w:r>
      <w:r>
        <w:fldChar w:fldCharType="separate"/>
      </w:r>
      <w:r>
        <w:rPr>
          <w:rStyle w:val="25"/>
        </w:rPr>
        <w:t xml:space="preserve">1.11.3 </w:t>
      </w:r>
      <w:r>
        <w:rPr>
          <w:rStyle w:val="25"/>
          <w:rFonts w:hint="eastAsia"/>
        </w:rPr>
        <w:t>市场测试情况</w:t>
      </w:r>
      <w:r>
        <w:tab/>
      </w:r>
      <w:r>
        <w:fldChar w:fldCharType="begin"/>
      </w:r>
      <w:r>
        <w:instrText xml:space="preserve"> PAGEREF _Toc468088600 \h </w:instrText>
      </w:r>
      <w:r>
        <w:fldChar w:fldCharType="separate"/>
      </w:r>
      <w:r>
        <w:t>12</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"_Toc468088601" </w:instrText>
      </w:r>
      <w:r>
        <w:fldChar w:fldCharType="separate"/>
      </w:r>
      <w:r>
        <w:rPr>
          <w:rStyle w:val="25"/>
        </w:rPr>
        <w:t xml:space="preserve">1.11.4 </w:t>
      </w:r>
      <w:r>
        <w:rPr>
          <w:rStyle w:val="25"/>
          <w:rFonts w:hint="eastAsia"/>
        </w:rPr>
        <w:t>政府现有支持安排</w:t>
      </w:r>
      <w:r>
        <w:tab/>
      </w:r>
      <w:r>
        <w:fldChar w:fldCharType="begin"/>
      </w:r>
      <w:r>
        <w:instrText xml:space="preserve"> PAGEREF _Toc468088601 \h </w:instrText>
      </w:r>
      <w:r>
        <w:fldChar w:fldCharType="separate"/>
      </w:r>
      <w:r>
        <w:t>12</w:t>
      </w:r>
      <w:r>
        <w:fldChar w:fldCharType="end"/>
      </w:r>
      <w: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"_Toc468088602" </w:instrText>
      </w:r>
      <w:r>
        <w:fldChar w:fldCharType="separate"/>
      </w:r>
      <w:r>
        <w:rPr>
          <w:rStyle w:val="25"/>
          <w:rFonts w:hint="eastAsia" w:ascii="黑体" w:hAnsi="黑体" w:eastAsia="黑体" w:cs="黑体"/>
        </w:rPr>
        <w:t>二、风险分配框架</w:t>
      </w:r>
      <w:r>
        <w:tab/>
      </w:r>
      <w:r>
        <w:fldChar w:fldCharType="begin"/>
      </w:r>
      <w:r>
        <w:instrText xml:space="preserve"> PAGEREF _Toc468088602 \h </w:instrText>
      </w:r>
      <w:r>
        <w:fldChar w:fldCharType="separate"/>
      </w:r>
      <w:r>
        <w:t>12</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"_Toc468088603" </w:instrText>
      </w:r>
      <w:r>
        <w:fldChar w:fldCharType="separate"/>
      </w:r>
      <w:r>
        <w:rPr>
          <w:rStyle w:val="25"/>
          <w:rFonts w:ascii="Times New Roman" w:hAnsi="Times New Roman"/>
        </w:rPr>
        <w:t xml:space="preserve">2.1 </w:t>
      </w:r>
      <w:r>
        <w:rPr>
          <w:rStyle w:val="25"/>
          <w:rFonts w:hint="eastAsia" w:hAnsi="宋体" w:eastAsia="宋体" w:cs="宋体"/>
        </w:rPr>
        <w:t>风险识别</w:t>
      </w:r>
      <w:r>
        <w:tab/>
      </w:r>
      <w:r>
        <w:fldChar w:fldCharType="begin"/>
      </w:r>
      <w:r>
        <w:instrText xml:space="preserve"> PAGEREF _Toc468088603 \h </w:instrText>
      </w:r>
      <w:r>
        <w:fldChar w:fldCharType="separate"/>
      </w:r>
      <w:r>
        <w:t>12</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"_Toc468088604" </w:instrText>
      </w:r>
      <w:r>
        <w:fldChar w:fldCharType="separate"/>
      </w:r>
      <w:r>
        <w:rPr>
          <w:rStyle w:val="25"/>
        </w:rPr>
        <w:t xml:space="preserve">2.1.1 </w:t>
      </w:r>
      <w:r>
        <w:rPr>
          <w:rStyle w:val="25"/>
          <w:rFonts w:hint="eastAsia"/>
        </w:rPr>
        <w:t>商业风险</w:t>
      </w:r>
      <w:r>
        <w:tab/>
      </w:r>
      <w:r>
        <w:fldChar w:fldCharType="begin"/>
      </w:r>
      <w:r>
        <w:instrText xml:space="preserve"> PAGEREF _Toc468088604 \h </w:instrText>
      </w:r>
      <w:r>
        <w:fldChar w:fldCharType="separate"/>
      </w:r>
      <w:r>
        <w:t>12</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"_Toc468088605" </w:instrText>
      </w:r>
      <w:r>
        <w:fldChar w:fldCharType="separate"/>
      </w:r>
      <w:r>
        <w:rPr>
          <w:rStyle w:val="25"/>
        </w:rPr>
        <w:t xml:space="preserve">2.1.2 </w:t>
      </w:r>
      <w:r>
        <w:rPr>
          <w:rStyle w:val="25"/>
          <w:rFonts w:hint="eastAsia"/>
        </w:rPr>
        <w:t>法律风险</w:t>
      </w:r>
      <w:r>
        <w:tab/>
      </w:r>
      <w:r>
        <w:fldChar w:fldCharType="begin"/>
      </w:r>
      <w:r>
        <w:instrText xml:space="preserve"> PAGEREF _Toc468088605 \h </w:instrText>
      </w:r>
      <w:r>
        <w:fldChar w:fldCharType="separate"/>
      </w:r>
      <w:r>
        <w:t>13</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"_Toc468088606" </w:instrText>
      </w:r>
      <w:r>
        <w:fldChar w:fldCharType="separate"/>
      </w:r>
      <w:r>
        <w:rPr>
          <w:rStyle w:val="25"/>
        </w:rPr>
        <w:t xml:space="preserve">2.1.3 </w:t>
      </w:r>
      <w:r>
        <w:rPr>
          <w:rStyle w:val="25"/>
          <w:rFonts w:hint="eastAsia"/>
        </w:rPr>
        <w:t>政策风险</w:t>
      </w:r>
      <w:r>
        <w:tab/>
      </w:r>
      <w:r>
        <w:fldChar w:fldCharType="begin"/>
      </w:r>
      <w:r>
        <w:instrText xml:space="preserve"> PAGEREF _Toc468088606 \h </w:instrText>
      </w:r>
      <w:r>
        <w:fldChar w:fldCharType="separate"/>
      </w:r>
      <w:r>
        <w:t>13</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"_Toc468088607" </w:instrText>
      </w:r>
      <w:r>
        <w:fldChar w:fldCharType="separate"/>
      </w:r>
      <w:r>
        <w:rPr>
          <w:rStyle w:val="25"/>
        </w:rPr>
        <w:t xml:space="preserve">2.1.4 </w:t>
      </w:r>
      <w:r>
        <w:rPr>
          <w:rStyle w:val="25"/>
          <w:rFonts w:hint="eastAsia"/>
        </w:rPr>
        <w:t>不可抗力</w:t>
      </w:r>
      <w:r>
        <w:tab/>
      </w:r>
      <w:r>
        <w:fldChar w:fldCharType="begin"/>
      </w:r>
      <w:r>
        <w:instrText xml:space="preserve"> PAGEREF _Toc468088607 \h </w:instrText>
      </w:r>
      <w:r>
        <w:fldChar w:fldCharType="separate"/>
      </w:r>
      <w:r>
        <w:t>14</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"_Toc468088608" </w:instrText>
      </w:r>
      <w:r>
        <w:fldChar w:fldCharType="separate"/>
      </w:r>
      <w:r>
        <w:rPr>
          <w:rStyle w:val="25"/>
        </w:rPr>
        <w:t xml:space="preserve">2.1.5 </w:t>
      </w:r>
      <w:r>
        <w:rPr>
          <w:rStyle w:val="25"/>
          <w:rFonts w:hint="eastAsia"/>
        </w:rPr>
        <w:t>移交风险</w:t>
      </w:r>
      <w:r>
        <w:tab/>
      </w:r>
      <w:r>
        <w:fldChar w:fldCharType="begin"/>
      </w:r>
      <w:r>
        <w:instrText xml:space="preserve"> PAGEREF _Toc468088608 \h </w:instrText>
      </w:r>
      <w:r>
        <w:fldChar w:fldCharType="separate"/>
      </w:r>
      <w:r>
        <w:t>14</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"_Toc468088609" </w:instrText>
      </w:r>
      <w:r>
        <w:fldChar w:fldCharType="separate"/>
      </w:r>
      <w:r>
        <w:rPr>
          <w:rStyle w:val="25"/>
        </w:rPr>
        <w:t xml:space="preserve">2.1.6 </w:t>
      </w:r>
      <w:r>
        <w:rPr>
          <w:rStyle w:val="25"/>
          <w:rFonts w:hint="eastAsia"/>
        </w:rPr>
        <w:t>金融风险</w:t>
      </w:r>
      <w:r>
        <w:tab/>
      </w:r>
      <w:r>
        <w:fldChar w:fldCharType="begin"/>
      </w:r>
      <w:r>
        <w:instrText xml:space="preserve"> PAGEREF _Toc468088609 \h </w:instrText>
      </w:r>
      <w:r>
        <w:fldChar w:fldCharType="separate"/>
      </w:r>
      <w:r>
        <w:t>14</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"_Toc468088610" </w:instrText>
      </w:r>
      <w:r>
        <w:fldChar w:fldCharType="separate"/>
      </w:r>
      <w:r>
        <w:rPr>
          <w:rStyle w:val="25"/>
          <w:rFonts w:ascii="Times New Roman" w:hAnsi="Times New Roman"/>
        </w:rPr>
        <w:t xml:space="preserve">2.2 </w:t>
      </w:r>
      <w:r>
        <w:rPr>
          <w:rStyle w:val="25"/>
          <w:rFonts w:hint="eastAsia" w:hAnsi="宋体" w:eastAsia="宋体" w:cs="宋体"/>
        </w:rPr>
        <w:t>风险分配</w:t>
      </w:r>
      <w:r>
        <w:tab/>
      </w:r>
      <w:r>
        <w:fldChar w:fldCharType="begin"/>
      </w:r>
      <w:r>
        <w:instrText xml:space="preserve"> PAGEREF _Toc468088610 \h </w:instrText>
      </w:r>
      <w:r>
        <w:fldChar w:fldCharType="separate"/>
      </w:r>
      <w:r>
        <w:t>14</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"_Toc468088611" </w:instrText>
      </w:r>
      <w:r>
        <w:fldChar w:fldCharType="separate"/>
      </w:r>
      <w:r>
        <w:rPr>
          <w:rStyle w:val="25"/>
          <w:rFonts w:ascii="Times New Roman" w:hAnsi="Times New Roman"/>
        </w:rPr>
        <w:t xml:space="preserve">2.3 </w:t>
      </w:r>
      <w:r>
        <w:rPr>
          <w:rStyle w:val="25"/>
          <w:rFonts w:hint="eastAsia" w:hAnsi="宋体" w:eastAsia="宋体" w:cs="宋体"/>
        </w:rPr>
        <w:t>风险管控</w:t>
      </w:r>
      <w:r>
        <w:tab/>
      </w:r>
      <w:r>
        <w:fldChar w:fldCharType="begin"/>
      </w:r>
      <w:r>
        <w:instrText xml:space="preserve"> PAGEREF _Toc468088611 \h </w:instrText>
      </w:r>
      <w:r>
        <w:fldChar w:fldCharType="separate"/>
      </w:r>
      <w:r>
        <w:t>16</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"_Toc468088612" </w:instrText>
      </w:r>
      <w:r>
        <w:fldChar w:fldCharType="separate"/>
      </w:r>
      <w:r>
        <w:rPr>
          <w:rStyle w:val="25"/>
        </w:rPr>
        <w:t xml:space="preserve">2.3.1 </w:t>
      </w:r>
      <w:r>
        <w:rPr>
          <w:rStyle w:val="25"/>
          <w:rFonts w:hint="eastAsia"/>
        </w:rPr>
        <w:t>风险控制</w:t>
      </w:r>
      <w:r>
        <w:tab/>
      </w:r>
      <w:r>
        <w:fldChar w:fldCharType="begin"/>
      </w:r>
      <w:r>
        <w:instrText xml:space="preserve"> PAGEREF _Toc468088612 \h </w:instrText>
      </w:r>
      <w:r>
        <w:fldChar w:fldCharType="separate"/>
      </w:r>
      <w:r>
        <w:t>16</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"_Toc468088613" </w:instrText>
      </w:r>
      <w:r>
        <w:fldChar w:fldCharType="separate"/>
      </w:r>
      <w:r>
        <w:rPr>
          <w:rStyle w:val="25"/>
        </w:rPr>
        <w:t xml:space="preserve">2.3.2 </w:t>
      </w:r>
      <w:r>
        <w:rPr>
          <w:rStyle w:val="25"/>
          <w:rFonts w:hint="eastAsia"/>
        </w:rPr>
        <w:t>风险转移</w:t>
      </w:r>
      <w:r>
        <w:tab/>
      </w:r>
      <w:r>
        <w:fldChar w:fldCharType="begin"/>
      </w:r>
      <w:r>
        <w:instrText xml:space="preserve"> PAGEREF _Toc468088613 \h </w:instrText>
      </w:r>
      <w:r>
        <w:fldChar w:fldCharType="separate"/>
      </w:r>
      <w:r>
        <w:t>17</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"_Toc468088614" </w:instrText>
      </w:r>
      <w:r>
        <w:fldChar w:fldCharType="separate"/>
      </w:r>
      <w:r>
        <w:rPr>
          <w:rStyle w:val="25"/>
        </w:rPr>
        <w:t xml:space="preserve">2.3.3 </w:t>
      </w:r>
      <w:r>
        <w:rPr>
          <w:rStyle w:val="25"/>
          <w:rFonts w:hint="eastAsia"/>
        </w:rPr>
        <w:t>风险回避</w:t>
      </w:r>
      <w:r>
        <w:tab/>
      </w:r>
      <w:r>
        <w:fldChar w:fldCharType="begin"/>
      </w:r>
      <w:r>
        <w:instrText xml:space="preserve"> PAGEREF _Toc468088614 \h </w:instrText>
      </w:r>
      <w:r>
        <w:fldChar w:fldCharType="separate"/>
      </w:r>
      <w:r>
        <w:t>17</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"_Toc468088615" </w:instrText>
      </w:r>
      <w:r>
        <w:fldChar w:fldCharType="separate"/>
      </w:r>
      <w:r>
        <w:rPr>
          <w:rStyle w:val="25"/>
        </w:rPr>
        <w:t xml:space="preserve">2.3.4 </w:t>
      </w:r>
      <w:r>
        <w:rPr>
          <w:rStyle w:val="25"/>
          <w:rFonts w:hint="eastAsia"/>
        </w:rPr>
        <w:t>风险自留</w:t>
      </w:r>
      <w:r>
        <w:tab/>
      </w:r>
      <w:r>
        <w:fldChar w:fldCharType="begin"/>
      </w:r>
      <w:r>
        <w:instrText xml:space="preserve"> PAGEREF _Toc468088615 \h </w:instrText>
      </w:r>
      <w:r>
        <w:fldChar w:fldCharType="separate"/>
      </w:r>
      <w:r>
        <w:t>17</w:t>
      </w:r>
      <w:r>
        <w:fldChar w:fldCharType="end"/>
      </w:r>
      <w: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"_Toc468088616" </w:instrText>
      </w:r>
      <w:r>
        <w:fldChar w:fldCharType="separate"/>
      </w:r>
      <w:r>
        <w:rPr>
          <w:rStyle w:val="25"/>
          <w:rFonts w:hint="eastAsia" w:ascii="黑体" w:hAnsi="黑体" w:eastAsia="黑体" w:cs="黑体"/>
        </w:rPr>
        <w:t>三、项目运作方式</w:t>
      </w:r>
      <w:r>
        <w:tab/>
      </w:r>
      <w:r>
        <w:fldChar w:fldCharType="begin"/>
      </w:r>
      <w:r>
        <w:instrText xml:space="preserve"> PAGEREF _Toc468088616 \h </w:instrText>
      </w:r>
      <w:r>
        <w:fldChar w:fldCharType="separate"/>
      </w:r>
      <w:r>
        <w:t>17</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"_Toc468088617" </w:instrText>
      </w:r>
      <w:r>
        <w:fldChar w:fldCharType="separate"/>
      </w:r>
      <w:r>
        <w:rPr>
          <w:rStyle w:val="25"/>
          <w:rFonts w:ascii="Times New Roman" w:hAnsi="Times New Roman"/>
        </w:rPr>
        <w:t xml:space="preserve">3.1 </w:t>
      </w:r>
      <w:r>
        <w:rPr>
          <w:rStyle w:val="25"/>
          <w:rFonts w:hint="eastAsia" w:hAnsi="宋体" w:eastAsia="宋体" w:cs="宋体"/>
        </w:rPr>
        <w:t>实施机构</w:t>
      </w:r>
      <w:r>
        <w:tab/>
      </w:r>
      <w:r>
        <w:fldChar w:fldCharType="begin"/>
      </w:r>
      <w:r>
        <w:instrText xml:space="preserve"> PAGEREF _Toc468088617 \h </w:instrText>
      </w:r>
      <w:r>
        <w:fldChar w:fldCharType="separate"/>
      </w:r>
      <w:r>
        <w:t>17</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"_Toc468088618" </w:instrText>
      </w:r>
      <w:r>
        <w:fldChar w:fldCharType="separate"/>
      </w:r>
      <w:r>
        <w:rPr>
          <w:rStyle w:val="25"/>
          <w:rFonts w:ascii="Times New Roman" w:hAnsi="Times New Roman"/>
        </w:rPr>
        <w:t xml:space="preserve">3.2 </w:t>
      </w:r>
      <w:r>
        <w:rPr>
          <w:rStyle w:val="25"/>
          <w:rFonts w:hint="eastAsia" w:hAnsi="宋体" w:eastAsia="宋体" w:cs="宋体"/>
        </w:rPr>
        <w:t>运作方式</w:t>
      </w:r>
      <w:r>
        <w:tab/>
      </w:r>
      <w:r>
        <w:fldChar w:fldCharType="begin"/>
      </w:r>
      <w:r>
        <w:instrText xml:space="preserve"> PAGEREF _Toc468088618 \h </w:instrText>
      </w:r>
      <w:r>
        <w:fldChar w:fldCharType="separate"/>
      </w:r>
      <w:r>
        <w:t>18</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"_Toc468088619" </w:instrText>
      </w:r>
      <w:r>
        <w:fldChar w:fldCharType="separate"/>
      </w:r>
      <w:r>
        <w:rPr>
          <w:rStyle w:val="25"/>
          <w:rFonts w:ascii="Times New Roman" w:hAnsi="Times New Roman"/>
        </w:rPr>
        <w:t xml:space="preserve">3.3 </w:t>
      </w:r>
      <w:r>
        <w:rPr>
          <w:rStyle w:val="25"/>
          <w:rFonts w:hint="eastAsia" w:hAnsi="宋体" w:eastAsia="宋体" w:cs="宋体"/>
        </w:rPr>
        <w:t>合作期限</w:t>
      </w:r>
      <w:r>
        <w:tab/>
      </w:r>
      <w:r>
        <w:rPr>
          <w:rFonts w:hint="eastAsia" w:eastAsiaTheme="minorEastAsia"/>
        </w:rPr>
        <w:t>+</w:t>
      </w:r>
      <w:r>
        <w:rPr>
          <w:rFonts w:hint="eastAsia" w:eastAsiaTheme="minorEastAsia"/>
        </w:rP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"_Toc468088620" </w:instrText>
      </w:r>
      <w:r>
        <w:fldChar w:fldCharType="separate"/>
      </w:r>
      <w:r>
        <w:rPr>
          <w:rStyle w:val="25"/>
          <w:rFonts w:ascii="Times New Roman" w:hAnsi="Times New Roman"/>
        </w:rPr>
        <w:t xml:space="preserve">3.4 </w:t>
      </w:r>
      <w:r>
        <w:rPr>
          <w:rStyle w:val="25"/>
          <w:rFonts w:hint="eastAsia" w:hAnsi="宋体" w:eastAsia="宋体" w:cs="宋体"/>
        </w:rPr>
        <w:t>资产权属</w:t>
      </w:r>
      <w:r>
        <w:tab/>
      </w:r>
      <w:r>
        <w:fldChar w:fldCharType="begin"/>
      </w:r>
      <w:r>
        <w:instrText xml:space="preserve"> PAGEREF _Toc468088620 \h </w:instrText>
      </w:r>
      <w:r>
        <w:fldChar w:fldCharType="separate"/>
      </w:r>
      <w:r>
        <w:t>19</w:t>
      </w:r>
      <w:r>
        <w:fldChar w:fldCharType="end"/>
      </w:r>
      <w: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"_Toc468088621" </w:instrText>
      </w:r>
      <w:r>
        <w:fldChar w:fldCharType="separate"/>
      </w:r>
      <w:r>
        <w:rPr>
          <w:rStyle w:val="25"/>
          <w:rFonts w:hint="eastAsia" w:ascii="黑体" w:hAnsi="黑体" w:eastAsia="黑体" w:cs="黑体"/>
        </w:rPr>
        <w:t>四、项目交易结构</w:t>
      </w:r>
      <w:r>
        <w:tab/>
      </w:r>
      <w:r>
        <w:fldChar w:fldCharType="begin"/>
      </w:r>
      <w:r>
        <w:instrText xml:space="preserve"> PAGEREF _Toc468088621 \h </w:instrText>
      </w:r>
      <w:r>
        <w:fldChar w:fldCharType="separate"/>
      </w:r>
      <w:r>
        <w:t>19</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"_Toc468088622" </w:instrText>
      </w:r>
      <w:r>
        <w:fldChar w:fldCharType="separate"/>
      </w:r>
      <w:r>
        <w:rPr>
          <w:rStyle w:val="25"/>
          <w:rFonts w:ascii="Times New Roman" w:hAnsi="Times New Roman"/>
        </w:rPr>
        <w:t xml:space="preserve">4.1 </w:t>
      </w:r>
      <w:r>
        <w:rPr>
          <w:rStyle w:val="25"/>
          <w:rFonts w:hint="eastAsia" w:hAnsi="宋体" w:eastAsia="宋体" w:cs="宋体"/>
        </w:rPr>
        <w:t>投融资结构</w:t>
      </w:r>
      <w:r>
        <w:tab/>
      </w:r>
      <w:r>
        <w:fldChar w:fldCharType="begin"/>
      </w:r>
      <w:r>
        <w:instrText xml:space="preserve"> PAGEREF _Toc468088622 \h </w:instrText>
      </w:r>
      <w:r>
        <w:fldChar w:fldCharType="separate"/>
      </w:r>
      <w:r>
        <w:t>19</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"_Toc468088623" </w:instrText>
      </w:r>
      <w:r>
        <w:fldChar w:fldCharType="separate"/>
      </w:r>
      <w:r>
        <w:rPr>
          <w:rStyle w:val="25"/>
        </w:rPr>
        <w:t xml:space="preserve">4.1.1 </w:t>
      </w:r>
      <w:r>
        <w:rPr>
          <w:rStyle w:val="25"/>
          <w:rFonts w:hint="eastAsia"/>
        </w:rPr>
        <w:t>股权结构</w:t>
      </w:r>
      <w:r>
        <w:tab/>
      </w:r>
      <w:r>
        <w:fldChar w:fldCharType="begin"/>
      </w:r>
      <w:r>
        <w:instrText xml:space="preserve"> PAGEREF _Toc468088623 \h </w:instrText>
      </w:r>
      <w:r>
        <w:fldChar w:fldCharType="separate"/>
      </w:r>
      <w:r>
        <w:t>19</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"_Toc468088624" </w:instrText>
      </w:r>
      <w:r>
        <w:fldChar w:fldCharType="separate"/>
      </w:r>
      <w:r>
        <w:rPr>
          <w:rStyle w:val="25"/>
          <w:rFonts w:ascii="Times New Roman" w:hAnsi="Times New Roman"/>
        </w:rPr>
        <w:t xml:space="preserve">4.1.2 </w:t>
      </w:r>
      <w:r>
        <w:rPr>
          <w:rStyle w:val="25"/>
          <w:rFonts w:hint="eastAsia" w:hAnsi="宋体" w:eastAsia="宋体" w:cs="宋体"/>
        </w:rPr>
        <w:t>融资结构</w:t>
      </w:r>
      <w:r>
        <w:tab/>
      </w:r>
      <w:r>
        <w:fldChar w:fldCharType="begin"/>
      </w:r>
      <w:r>
        <w:instrText xml:space="preserve"> PAGEREF _Toc468088624 \h </w:instrText>
      </w:r>
      <w:r>
        <w:fldChar w:fldCharType="separate"/>
      </w:r>
      <w:r>
        <w:t>20</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"_Toc468088625" </w:instrText>
      </w:r>
      <w:r>
        <w:fldChar w:fldCharType="separate"/>
      </w:r>
      <w:r>
        <w:rPr>
          <w:rStyle w:val="25"/>
          <w:rFonts w:ascii="Times New Roman" w:hAnsi="Times New Roman"/>
        </w:rPr>
        <w:t xml:space="preserve">4.2 </w:t>
      </w:r>
      <w:r>
        <w:rPr>
          <w:rStyle w:val="25"/>
          <w:rFonts w:hint="eastAsia" w:hAnsi="宋体" w:eastAsia="宋体" w:cs="宋体"/>
        </w:rPr>
        <w:t>回报机制</w:t>
      </w:r>
      <w:r>
        <w:tab/>
      </w:r>
      <w:r>
        <w:fldChar w:fldCharType="begin"/>
      </w:r>
      <w:r>
        <w:instrText xml:space="preserve"> PAGEREF _Toc468088625 \h </w:instrText>
      </w:r>
      <w:r>
        <w:fldChar w:fldCharType="separate"/>
      </w:r>
      <w:r>
        <w:t>20</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"_Toc468088626" </w:instrText>
      </w:r>
      <w:r>
        <w:fldChar w:fldCharType="separate"/>
      </w:r>
      <w:r>
        <w:rPr>
          <w:rStyle w:val="25"/>
        </w:rPr>
        <w:t xml:space="preserve">4.2.1 </w:t>
      </w:r>
      <w:r>
        <w:rPr>
          <w:rStyle w:val="25"/>
          <w:rFonts w:hint="eastAsia"/>
        </w:rPr>
        <w:t>回报机制</w:t>
      </w:r>
      <w:r>
        <w:tab/>
      </w:r>
      <w:r>
        <w:fldChar w:fldCharType="begin"/>
      </w:r>
      <w:r>
        <w:instrText xml:space="preserve"> PAGEREF _Toc468088626 \h </w:instrText>
      </w:r>
      <w:r>
        <w:fldChar w:fldCharType="separate"/>
      </w:r>
      <w:r>
        <w:t>20</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"_Toc468088627" </w:instrText>
      </w:r>
      <w:r>
        <w:fldChar w:fldCharType="separate"/>
      </w:r>
      <w:r>
        <w:rPr>
          <w:rStyle w:val="25"/>
          <w:rFonts w:ascii="Times New Roman" w:hAnsi="Times New Roman"/>
        </w:rPr>
        <w:t xml:space="preserve">4.2.2 </w:t>
      </w:r>
      <w:r>
        <w:rPr>
          <w:rStyle w:val="25"/>
          <w:rFonts w:hint="eastAsia" w:hAnsi="宋体" w:eastAsia="宋体" w:cs="宋体"/>
        </w:rPr>
        <w:t>付费机制</w:t>
      </w:r>
      <w:r>
        <w:tab/>
      </w:r>
      <w:r>
        <w:fldChar w:fldCharType="begin"/>
      </w:r>
      <w:r>
        <w:instrText xml:space="preserve"> PAGEREF _Toc468088627 \h </w:instrText>
      </w:r>
      <w:r>
        <w:fldChar w:fldCharType="separate"/>
      </w:r>
      <w:r>
        <w:t>21</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"_Toc468088628" </w:instrText>
      </w:r>
      <w:r>
        <w:fldChar w:fldCharType="separate"/>
      </w:r>
      <w:r>
        <w:rPr>
          <w:rStyle w:val="25"/>
          <w:rFonts w:ascii="Times New Roman" w:hAnsi="Times New Roman"/>
        </w:rPr>
        <w:t xml:space="preserve">4.3 </w:t>
      </w:r>
      <w:r>
        <w:rPr>
          <w:rStyle w:val="25"/>
          <w:rFonts w:hint="eastAsia" w:hAnsi="宋体" w:eastAsia="宋体" w:cs="宋体"/>
        </w:rPr>
        <w:t>政府配套安排</w:t>
      </w:r>
      <w:r>
        <w:tab/>
      </w:r>
      <w:r>
        <w:fldChar w:fldCharType="begin"/>
      </w:r>
      <w:r>
        <w:instrText xml:space="preserve"> PAGEREF _Toc468088628 \h </w:instrText>
      </w:r>
      <w:r>
        <w:fldChar w:fldCharType="separate"/>
      </w:r>
      <w:r>
        <w:t>21</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"_Toc468088629" </w:instrText>
      </w:r>
      <w:r>
        <w:fldChar w:fldCharType="separate"/>
      </w:r>
      <w:r>
        <w:rPr>
          <w:rStyle w:val="25"/>
          <w:rFonts w:ascii="Times New Roman" w:hAnsi="Times New Roman"/>
        </w:rPr>
        <w:t xml:space="preserve">4.4 </w:t>
      </w:r>
      <w:r>
        <w:rPr>
          <w:rStyle w:val="25"/>
          <w:rFonts w:hint="eastAsia" w:hAnsi="宋体" w:eastAsia="宋体" w:cs="宋体"/>
        </w:rPr>
        <w:t>价格机制</w:t>
      </w:r>
      <w:r>
        <w:tab/>
      </w:r>
      <w:r>
        <w:fldChar w:fldCharType="begin"/>
      </w:r>
      <w:r>
        <w:instrText xml:space="preserve"> PAGEREF _Toc468088629 \h </w:instrText>
      </w:r>
      <w:r>
        <w:fldChar w:fldCharType="separate"/>
      </w:r>
      <w:r>
        <w:t>21</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"_Toc468088630" </w:instrText>
      </w:r>
      <w:r>
        <w:fldChar w:fldCharType="separate"/>
      </w:r>
      <w:r>
        <w:rPr>
          <w:rStyle w:val="25"/>
        </w:rPr>
        <w:t xml:space="preserve">4.4.1 </w:t>
      </w:r>
      <w:r>
        <w:rPr>
          <w:rStyle w:val="25"/>
          <w:rFonts w:hint="eastAsia"/>
        </w:rPr>
        <w:t>定价机制</w:t>
      </w:r>
      <w:r>
        <w:tab/>
      </w:r>
      <w:r>
        <w:fldChar w:fldCharType="begin"/>
      </w:r>
      <w:r>
        <w:instrText xml:space="preserve"> PAGEREF _Toc468088630 \h </w:instrText>
      </w:r>
      <w:r>
        <w:fldChar w:fldCharType="separate"/>
      </w:r>
      <w:r>
        <w:t>21</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"_Toc468088631" </w:instrText>
      </w:r>
      <w:r>
        <w:fldChar w:fldCharType="separate"/>
      </w:r>
      <w:r>
        <w:rPr>
          <w:rStyle w:val="25"/>
        </w:rPr>
        <w:t xml:space="preserve">4.4.2 </w:t>
      </w:r>
      <w:r>
        <w:rPr>
          <w:rStyle w:val="25"/>
          <w:rFonts w:hint="eastAsia"/>
        </w:rPr>
        <w:t>可行性缺口补助</w:t>
      </w:r>
      <w:r>
        <w:tab/>
      </w:r>
      <w:r>
        <w:fldChar w:fldCharType="begin"/>
      </w:r>
      <w:r>
        <w:instrText xml:space="preserve"> PAGEREF _Toc468088631 \h </w:instrText>
      </w:r>
      <w:r>
        <w:fldChar w:fldCharType="separate"/>
      </w:r>
      <w:r>
        <w:t>22</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"_Toc468088632" </w:instrText>
      </w:r>
      <w:r>
        <w:fldChar w:fldCharType="separate"/>
      </w:r>
      <w:r>
        <w:rPr>
          <w:rStyle w:val="25"/>
        </w:rPr>
        <w:t xml:space="preserve">4.4.3 </w:t>
      </w:r>
      <w:r>
        <w:rPr>
          <w:rStyle w:val="25"/>
          <w:rFonts w:hint="eastAsia"/>
        </w:rPr>
        <w:t>调价机制</w:t>
      </w:r>
      <w:r>
        <w:tab/>
      </w:r>
      <w:r>
        <w:fldChar w:fldCharType="begin"/>
      </w:r>
      <w:r>
        <w:instrText xml:space="preserve"> PAGEREF _Toc468088632 \h </w:instrText>
      </w:r>
      <w:r>
        <w:fldChar w:fldCharType="separate"/>
      </w:r>
      <w:r>
        <w:t>23</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"_Toc468088633" </w:instrText>
      </w:r>
      <w:r>
        <w:fldChar w:fldCharType="separate"/>
      </w:r>
      <w:r>
        <w:rPr>
          <w:rStyle w:val="25"/>
        </w:rPr>
        <w:t xml:space="preserve">4.4.4 </w:t>
      </w:r>
      <w:r>
        <w:rPr>
          <w:rStyle w:val="25"/>
          <w:rFonts w:hint="eastAsia"/>
        </w:rPr>
        <w:t>超额收益共享机制</w:t>
      </w:r>
      <w:r>
        <w:tab/>
      </w:r>
      <w:r>
        <w:fldChar w:fldCharType="begin"/>
      </w:r>
      <w:r>
        <w:instrText xml:space="preserve"> PAGEREF _Toc468088633 \h </w:instrText>
      </w:r>
      <w:r>
        <w:fldChar w:fldCharType="separate"/>
      </w:r>
      <w:r>
        <w:t>23</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"_Toc468088634" </w:instrText>
      </w:r>
      <w:r>
        <w:fldChar w:fldCharType="separate"/>
      </w:r>
      <w:r>
        <w:rPr>
          <w:rStyle w:val="25"/>
        </w:rPr>
        <w:t xml:space="preserve">4.4.5 </w:t>
      </w:r>
      <w:r>
        <w:rPr>
          <w:rStyle w:val="25"/>
          <w:rFonts w:hint="eastAsia"/>
        </w:rPr>
        <w:t>最低需求保障</w:t>
      </w:r>
      <w:r>
        <w:tab/>
      </w:r>
      <w:r>
        <w:fldChar w:fldCharType="begin"/>
      </w:r>
      <w:r>
        <w:instrText xml:space="preserve"> PAGEREF _Toc468088634 \h </w:instrText>
      </w:r>
      <w:r>
        <w:fldChar w:fldCharType="separate"/>
      </w:r>
      <w:r>
        <w:t>24</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"_Toc468088635" </w:instrText>
      </w:r>
      <w:r>
        <w:fldChar w:fldCharType="separate"/>
      </w:r>
      <w:r>
        <w:rPr>
          <w:rStyle w:val="25"/>
          <w:rFonts w:ascii="Times New Roman" w:hAnsi="Times New Roman"/>
        </w:rPr>
        <w:t xml:space="preserve">4.5 </w:t>
      </w:r>
      <w:r>
        <w:rPr>
          <w:rStyle w:val="25"/>
          <w:rFonts w:hint="eastAsia" w:hAnsi="宋体" w:eastAsia="宋体" w:cs="宋体"/>
        </w:rPr>
        <w:t>绩效机制</w:t>
      </w:r>
      <w:r>
        <w:tab/>
      </w:r>
      <w:r>
        <w:fldChar w:fldCharType="begin"/>
      </w:r>
      <w:r>
        <w:instrText xml:space="preserve"> PAGEREF _Toc468088635 \h </w:instrText>
      </w:r>
      <w:r>
        <w:fldChar w:fldCharType="separate"/>
      </w:r>
      <w:r>
        <w:t>24</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"_Toc468088636" </w:instrText>
      </w:r>
      <w:r>
        <w:fldChar w:fldCharType="separate"/>
      </w:r>
      <w:r>
        <w:rPr>
          <w:rStyle w:val="25"/>
        </w:rPr>
        <w:t xml:space="preserve">4.5.1 </w:t>
      </w:r>
      <w:r>
        <w:rPr>
          <w:rStyle w:val="25"/>
          <w:rFonts w:hint="eastAsia"/>
        </w:rPr>
        <w:t>绩效指标体系</w:t>
      </w:r>
      <w:r>
        <w:tab/>
      </w:r>
      <w:r>
        <w:fldChar w:fldCharType="begin"/>
      </w:r>
      <w:r>
        <w:instrText xml:space="preserve"> PAGEREF _Toc468088636 \h </w:instrText>
      </w:r>
      <w:r>
        <w:fldChar w:fldCharType="separate"/>
      </w:r>
      <w:r>
        <w:t>24</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"_Toc468088637" </w:instrText>
      </w:r>
      <w:r>
        <w:fldChar w:fldCharType="separate"/>
      </w:r>
      <w:r>
        <w:rPr>
          <w:rStyle w:val="25"/>
        </w:rPr>
        <w:t xml:space="preserve">4.5.2 </w:t>
      </w:r>
      <w:r>
        <w:rPr>
          <w:rStyle w:val="25"/>
          <w:rFonts w:hint="eastAsia"/>
        </w:rPr>
        <w:t>绩效考核结果</w:t>
      </w:r>
      <w:r>
        <w:tab/>
      </w:r>
      <w:r>
        <w:fldChar w:fldCharType="begin"/>
      </w:r>
      <w:r>
        <w:instrText xml:space="preserve"> PAGEREF _Toc468088637 \h </w:instrText>
      </w:r>
      <w:r>
        <w:fldChar w:fldCharType="separate"/>
      </w:r>
      <w:r>
        <w:t>25</w:t>
      </w:r>
      <w:r>
        <w:fldChar w:fldCharType="end"/>
      </w:r>
      <w: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"_Toc468088638" </w:instrText>
      </w:r>
      <w:r>
        <w:fldChar w:fldCharType="separate"/>
      </w:r>
      <w:r>
        <w:rPr>
          <w:rStyle w:val="25"/>
          <w:rFonts w:hint="eastAsia" w:ascii="黑体" w:hAnsi="黑体" w:eastAsia="黑体" w:cs="黑体"/>
        </w:rPr>
        <w:t>五、合同体系</w:t>
      </w:r>
      <w:r>
        <w:tab/>
      </w:r>
      <w:r>
        <w:fldChar w:fldCharType="begin"/>
      </w:r>
      <w:r>
        <w:instrText xml:space="preserve"> PAGEREF _Toc468088638 \h </w:instrText>
      </w:r>
      <w:r>
        <w:fldChar w:fldCharType="separate"/>
      </w:r>
      <w:r>
        <w:t>27</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"_Toc468088639" </w:instrText>
      </w:r>
      <w:r>
        <w:fldChar w:fldCharType="separate"/>
      </w:r>
      <w:r>
        <w:rPr>
          <w:rStyle w:val="25"/>
          <w:rFonts w:ascii="Times New Roman" w:hAnsi="Times New Roman"/>
        </w:rPr>
        <w:t xml:space="preserve">5.1 </w:t>
      </w:r>
      <w:r>
        <w:rPr>
          <w:rStyle w:val="25"/>
          <w:rFonts w:hint="eastAsia" w:hAnsi="宋体" w:eastAsia="宋体" w:cs="宋体"/>
        </w:rPr>
        <w:t>权利义务</w:t>
      </w:r>
      <w:r>
        <w:tab/>
      </w:r>
      <w:r>
        <w:fldChar w:fldCharType="begin"/>
      </w:r>
      <w:r>
        <w:instrText xml:space="preserve"> PAGEREF _Toc468088639 \h </w:instrText>
      </w:r>
      <w:r>
        <w:fldChar w:fldCharType="separate"/>
      </w:r>
      <w:r>
        <w:t>28</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"_Toc468088640" </w:instrText>
      </w:r>
      <w:r>
        <w:fldChar w:fldCharType="separate"/>
      </w:r>
      <w:r>
        <w:rPr>
          <w:rStyle w:val="25"/>
          <w:rFonts w:ascii="Times New Roman" w:hAnsi="Times New Roman"/>
        </w:rPr>
        <w:t xml:space="preserve">5.1.1 </w:t>
      </w:r>
      <w:r>
        <w:rPr>
          <w:rStyle w:val="25"/>
          <w:rFonts w:hint="eastAsia" w:hAnsi="宋体" w:eastAsia="宋体" w:cs="宋体"/>
        </w:rPr>
        <w:t>政府方的权利</w:t>
      </w:r>
      <w:r>
        <w:tab/>
      </w:r>
      <w:r>
        <w:fldChar w:fldCharType="begin"/>
      </w:r>
      <w:r>
        <w:instrText xml:space="preserve"> PAGEREF _Toc468088640 \h </w:instrText>
      </w:r>
      <w:r>
        <w:fldChar w:fldCharType="separate"/>
      </w:r>
      <w:r>
        <w:t>28</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"_Toc468088641" </w:instrText>
      </w:r>
      <w:r>
        <w:fldChar w:fldCharType="separate"/>
      </w:r>
      <w:r>
        <w:rPr>
          <w:rStyle w:val="25"/>
          <w:rFonts w:ascii="Times New Roman" w:hAnsi="Times New Roman"/>
        </w:rPr>
        <w:t xml:space="preserve">5.1.2 </w:t>
      </w:r>
      <w:r>
        <w:rPr>
          <w:rStyle w:val="25"/>
          <w:rFonts w:hint="eastAsia" w:hAnsi="宋体" w:eastAsia="宋体" w:cs="宋体"/>
        </w:rPr>
        <w:t>政府方的义务</w:t>
      </w:r>
      <w:r>
        <w:tab/>
      </w:r>
      <w:r>
        <w:fldChar w:fldCharType="begin"/>
      </w:r>
      <w:r>
        <w:instrText xml:space="preserve"> PAGEREF _Toc468088641 \h </w:instrText>
      </w:r>
      <w:r>
        <w:fldChar w:fldCharType="separate"/>
      </w:r>
      <w:r>
        <w:t>29</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"_Toc468088642" </w:instrText>
      </w:r>
      <w:r>
        <w:fldChar w:fldCharType="separate"/>
      </w:r>
      <w:r>
        <w:rPr>
          <w:rStyle w:val="25"/>
          <w:rFonts w:ascii="Times New Roman" w:hAnsi="Times New Roman"/>
        </w:rPr>
        <w:t xml:space="preserve">5.1.3 </w:t>
      </w:r>
      <w:r>
        <w:rPr>
          <w:rStyle w:val="25"/>
          <w:rFonts w:hint="eastAsia" w:hAnsi="宋体" w:eastAsia="宋体" w:cs="宋体"/>
        </w:rPr>
        <w:t>社会资本方的权利</w:t>
      </w:r>
      <w:r>
        <w:tab/>
      </w:r>
      <w:r>
        <w:fldChar w:fldCharType="begin"/>
      </w:r>
      <w:r>
        <w:instrText xml:space="preserve"> PAGEREF _Toc468088642 \h </w:instrText>
      </w:r>
      <w:r>
        <w:fldChar w:fldCharType="separate"/>
      </w:r>
      <w:r>
        <w:t>30</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"_Toc468088643" </w:instrText>
      </w:r>
      <w:r>
        <w:fldChar w:fldCharType="separate"/>
      </w:r>
      <w:r>
        <w:rPr>
          <w:rStyle w:val="25"/>
          <w:rFonts w:ascii="Times New Roman" w:hAnsi="Times New Roman"/>
        </w:rPr>
        <w:t xml:space="preserve">5.1.4 </w:t>
      </w:r>
      <w:r>
        <w:rPr>
          <w:rStyle w:val="25"/>
          <w:rFonts w:hint="eastAsia" w:hAnsi="宋体" w:eastAsia="宋体" w:cs="宋体"/>
        </w:rPr>
        <w:t>社会资本方的义务</w:t>
      </w:r>
      <w:r>
        <w:tab/>
      </w:r>
      <w:r>
        <w:fldChar w:fldCharType="begin"/>
      </w:r>
      <w:r>
        <w:instrText xml:space="preserve"> PAGEREF _Toc468088643 \h </w:instrText>
      </w:r>
      <w:r>
        <w:fldChar w:fldCharType="separate"/>
      </w:r>
      <w:r>
        <w:t>30</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"_Toc468088644" </w:instrText>
      </w:r>
      <w:r>
        <w:fldChar w:fldCharType="separate"/>
      </w:r>
      <w:r>
        <w:rPr>
          <w:rStyle w:val="25"/>
          <w:rFonts w:ascii="Times New Roman" w:hAnsi="Times New Roman"/>
        </w:rPr>
        <w:t xml:space="preserve">5.2 </w:t>
      </w:r>
      <w:r>
        <w:rPr>
          <w:rStyle w:val="25"/>
          <w:rFonts w:hint="eastAsia" w:hAnsi="宋体" w:eastAsia="宋体" w:cs="宋体"/>
        </w:rPr>
        <w:t>调整衔接</w:t>
      </w:r>
      <w:r>
        <w:tab/>
      </w:r>
      <w:r>
        <w:fldChar w:fldCharType="begin"/>
      </w:r>
      <w:r>
        <w:instrText xml:space="preserve"> PAGEREF _Toc468088644 \h </w:instrText>
      </w:r>
      <w:r>
        <w:fldChar w:fldCharType="separate"/>
      </w:r>
      <w:r>
        <w:t>32</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"_Toc468088645" </w:instrText>
      </w:r>
      <w:r>
        <w:fldChar w:fldCharType="separate"/>
      </w:r>
      <w:r>
        <w:rPr>
          <w:rStyle w:val="25"/>
          <w:rFonts w:ascii="Times New Roman" w:hAnsi="Times New Roman"/>
        </w:rPr>
        <w:t xml:space="preserve">5.2.1 </w:t>
      </w:r>
      <w:r>
        <w:rPr>
          <w:rStyle w:val="25"/>
          <w:rFonts w:hint="eastAsia" w:hAnsi="宋体" w:eastAsia="宋体" w:cs="宋体"/>
        </w:rPr>
        <w:t>应急处置</w:t>
      </w:r>
      <w:r>
        <w:tab/>
      </w:r>
      <w:r>
        <w:fldChar w:fldCharType="begin"/>
      </w:r>
      <w:r>
        <w:instrText xml:space="preserve"> PAGEREF _Toc468088645 \h </w:instrText>
      </w:r>
      <w:r>
        <w:fldChar w:fldCharType="separate"/>
      </w:r>
      <w:r>
        <w:t>32</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"_Toc468088646" </w:instrText>
      </w:r>
      <w:r>
        <w:fldChar w:fldCharType="separate"/>
      </w:r>
      <w:r>
        <w:rPr>
          <w:rStyle w:val="25"/>
          <w:rFonts w:ascii="Times New Roman" w:hAnsi="Times New Roman"/>
        </w:rPr>
        <w:t xml:space="preserve">5.2.2 </w:t>
      </w:r>
      <w:r>
        <w:rPr>
          <w:rStyle w:val="25"/>
          <w:rFonts w:hint="eastAsia" w:hAnsi="宋体" w:eastAsia="宋体" w:cs="宋体"/>
        </w:rPr>
        <w:t>临时接管</w:t>
      </w:r>
      <w:r>
        <w:tab/>
      </w:r>
      <w:r>
        <w:fldChar w:fldCharType="begin"/>
      </w:r>
      <w:r>
        <w:instrText xml:space="preserve"> PAGEREF _Toc468088646 \h </w:instrText>
      </w:r>
      <w:r>
        <w:fldChar w:fldCharType="separate"/>
      </w:r>
      <w:r>
        <w:t>33</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"_Toc468088647" </w:instrText>
      </w:r>
      <w:r>
        <w:fldChar w:fldCharType="separate"/>
      </w:r>
      <w:r>
        <w:rPr>
          <w:rStyle w:val="25"/>
          <w:rFonts w:ascii="Times New Roman" w:hAnsi="Times New Roman"/>
        </w:rPr>
        <w:t xml:space="preserve">5.2.3 </w:t>
      </w:r>
      <w:r>
        <w:rPr>
          <w:rStyle w:val="25"/>
          <w:rFonts w:hint="eastAsia" w:hAnsi="宋体" w:eastAsia="宋体" w:cs="宋体"/>
        </w:rPr>
        <w:t>违约</w:t>
      </w:r>
      <w:r>
        <w:tab/>
      </w:r>
      <w:r>
        <w:fldChar w:fldCharType="begin"/>
      </w:r>
      <w:r>
        <w:instrText xml:space="preserve"> PAGEREF _Toc468088647 \h </w:instrText>
      </w:r>
      <w:r>
        <w:fldChar w:fldCharType="separate"/>
      </w:r>
      <w:r>
        <w:t>34</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"_Toc468088648" </w:instrText>
      </w:r>
      <w:r>
        <w:fldChar w:fldCharType="separate"/>
      </w:r>
      <w:r>
        <w:rPr>
          <w:rStyle w:val="25"/>
          <w:rFonts w:ascii="Times New Roman" w:hAnsi="Times New Roman"/>
        </w:rPr>
        <w:t xml:space="preserve">5.2.4 </w:t>
      </w:r>
      <w:r>
        <w:rPr>
          <w:rStyle w:val="25"/>
          <w:rFonts w:hint="eastAsia" w:hAnsi="宋体" w:eastAsia="宋体" w:cs="宋体"/>
        </w:rPr>
        <w:t>提前终止</w:t>
      </w:r>
      <w:r>
        <w:tab/>
      </w:r>
      <w:r>
        <w:fldChar w:fldCharType="begin"/>
      </w:r>
      <w:r>
        <w:instrText xml:space="preserve"> PAGEREF _Toc468088648 \h </w:instrText>
      </w:r>
      <w:r>
        <w:fldChar w:fldCharType="separate"/>
      </w:r>
      <w:r>
        <w:t>35</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"_Toc468088649" </w:instrText>
      </w:r>
      <w:r>
        <w:fldChar w:fldCharType="separate"/>
      </w:r>
      <w:r>
        <w:rPr>
          <w:rStyle w:val="25"/>
          <w:rFonts w:ascii="Times New Roman" w:hAnsi="Times New Roman"/>
        </w:rPr>
        <w:t xml:space="preserve">5.2.5 </w:t>
      </w:r>
      <w:r>
        <w:rPr>
          <w:rStyle w:val="25"/>
          <w:rFonts w:hint="eastAsia" w:hAnsi="宋体" w:eastAsia="宋体" w:cs="宋体"/>
        </w:rPr>
        <w:t>终止后的处理机制</w:t>
      </w:r>
      <w:r>
        <w:tab/>
      </w:r>
      <w:r>
        <w:fldChar w:fldCharType="begin"/>
      </w:r>
      <w:r>
        <w:instrText xml:space="preserve"> PAGEREF _Toc468088649 \h </w:instrText>
      </w:r>
      <w:r>
        <w:fldChar w:fldCharType="separate"/>
      </w:r>
      <w:r>
        <w:t>36</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"_Toc468088650" </w:instrText>
      </w:r>
      <w:r>
        <w:fldChar w:fldCharType="separate"/>
      </w:r>
      <w:r>
        <w:rPr>
          <w:rStyle w:val="25"/>
          <w:rFonts w:ascii="Times New Roman" w:hAnsi="Times New Roman"/>
        </w:rPr>
        <w:t xml:space="preserve">5.2.6 </w:t>
      </w:r>
      <w:r>
        <w:rPr>
          <w:rStyle w:val="25"/>
          <w:rFonts w:hint="eastAsia" w:hAnsi="宋体" w:eastAsia="宋体" w:cs="宋体"/>
        </w:rPr>
        <w:t>补偿支付</w:t>
      </w:r>
      <w:r>
        <w:tab/>
      </w:r>
      <w:r>
        <w:fldChar w:fldCharType="begin"/>
      </w:r>
      <w:r>
        <w:instrText xml:space="preserve"> PAGEREF _Toc468088650 \h </w:instrText>
      </w:r>
      <w:r>
        <w:fldChar w:fldCharType="separate"/>
      </w:r>
      <w:r>
        <w:t>37</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"_Toc468088651" </w:instrText>
      </w:r>
      <w:r>
        <w:fldChar w:fldCharType="separate"/>
      </w:r>
      <w:r>
        <w:rPr>
          <w:rStyle w:val="25"/>
          <w:rFonts w:ascii="Times New Roman" w:hAnsi="Times New Roman"/>
        </w:rPr>
        <w:t xml:space="preserve">5.3 </w:t>
      </w:r>
      <w:r>
        <w:rPr>
          <w:rStyle w:val="25"/>
          <w:rFonts w:hint="eastAsia" w:hAnsi="宋体" w:eastAsia="宋体" w:cs="宋体"/>
        </w:rPr>
        <w:t>合同变更</w:t>
      </w:r>
      <w:r>
        <w:tab/>
      </w:r>
      <w:r>
        <w:fldChar w:fldCharType="begin"/>
      </w:r>
      <w:r>
        <w:instrText xml:space="preserve"> PAGEREF _Toc468088651 \h </w:instrText>
      </w:r>
      <w:r>
        <w:fldChar w:fldCharType="separate"/>
      </w:r>
      <w:r>
        <w:t>38</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"_Toc468088652" </w:instrText>
      </w:r>
      <w:r>
        <w:fldChar w:fldCharType="separate"/>
      </w:r>
      <w:r>
        <w:rPr>
          <w:rStyle w:val="25"/>
          <w:rFonts w:ascii="Times New Roman" w:hAnsi="Times New Roman"/>
        </w:rPr>
        <w:t xml:space="preserve">5.4 </w:t>
      </w:r>
      <w:r>
        <w:rPr>
          <w:rStyle w:val="25"/>
          <w:rFonts w:hint="eastAsia" w:hAnsi="宋体" w:eastAsia="宋体" w:cs="宋体"/>
        </w:rPr>
        <w:t>非竞争性承诺</w:t>
      </w:r>
      <w:r>
        <w:tab/>
      </w:r>
      <w:r>
        <w:fldChar w:fldCharType="begin"/>
      </w:r>
      <w:r>
        <w:instrText xml:space="preserve"> PAGEREF _Toc468088652 \h </w:instrText>
      </w:r>
      <w:r>
        <w:fldChar w:fldCharType="separate"/>
      </w:r>
      <w:r>
        <w:t>38</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"_Toc468088653" </w:instrText>
      </w:r>
      <w:r>
        <w:fldChar w:fldCharType="separate"/>
      </w:r>
      <w:r>
        <w:rPr>
          <w:rStyle w:val="25"/>
          <w:rFonts w:ascii="Times New Roman" w:hAnsi="Times New Roman"/>
        </w:rPr>
        <w:t xml:space="preserve">5.5 </w:t>
      </w:r>
      <w:r>
        <w:rPr>
          <w:rStyle w:val="25"/>
          <w:rFonts w:hint="eastAsia" w:hAnsi="宋体" w:eastAsia="宋体" w:cs="宋体"/>
        </w:rPr>
        <w:t>运营期满后的资产处置</w:t>
      </w:r>
      <w:r>
        <w:tab/>
      </w:r>
      <w:r>
        <w:fldChar w:fldCharType="begin"/>
      </w:r>
      <w:r>
        <w:instrText xml:space="preserve"> PAGEREF _Toc468088653 \h </w:instrText>
      </w:r>
      <w:r>
        <w:fldChar w:fldCharType="separate"/>
      </w:r>
      <w:r>
        <w:t>39</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"_Toc468088654" </w:instrText>
      </w:r>
      <w:r>
        <w:fldChar w:fldCharType="separate"/>
      </w:r>
      <w:r>
        <w:rPr>
          <w:rStyle w:val="25"/>
          <w:rFonts w:ascii="Times New Roman" w:hAnsi="Times New Roman"/>
        </w:rPr>
        <w:t xml:space="preserve">5.5.1 </w:t>
      </w:r>
      <w:r>
        <w:rPr>
          <w:rStyle w:val="25"/>
          <w:rFonts w:hint="eastAsia" w:hAnsi="宋体" w:eastAsia="宋体" w:cs="宋体"/>
        </w:rPr>
        <w:t>移交范围及要求</w:t>
      </w:r>
      <w:r>
        <w:tab/>
      </w:r>
      <w:r>
        <w:fldChar w:fldCharType="begin"/>
      </w:r>
      <w:r>
        <w:instrText xml:space="preserve"> PAGEREF _Toc468088654 \h </w:instrText>
      </w:r>
      <w:r>
        <w:fldChar w:fldCharType="separate"/>
      </w:r>
      <w:r>
        <w:t>39</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"_Toc468088655" </w:instrText>
      </w:r>
      <w:r>
        <w:fldChar w:fldCharType="separate"/>
      </w:r>
      <w:r>
        <w:rPr>
          <w:rStyle w:val="25"/>
          <w:rFonts w:ascii="Times New Roman" w:hAnsi="Times New Roman"/>
        </w:rPr>
        <w:t xml:space="preserve">5.5.2 </w:t>
      </w:r>
      <w:r>
        <w:rPr>
          <w:rStyle w:val="25"/>
          <w:rFonts w:hint="eastAsia" w:hAnsi="宋体" w:eastAsia="宋体" w:cs="宋体"/>
        </w:rPr>
        <w:t>移交标准</w:t>
      </w:r>
      <w:r>
        <w:tab/>
      </w:r>
      <w:r>
        <w:fldChar w:fldCharType="begin"/>
      </w:r>
      <w:r>
        <w:instrText xml:space="preserve"> PAGEREF _Toc468088655 \h </w:instrText>
      </w:r>
      <w:r>
        <w:fldChar w:fldCharType="separate"/>
      </w:r>
      <w:r>
        <w:t>39</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"_Toc468088656" </w:instrText>
      </w:r>
      <w:r>
        <w:fldChar w:fldCharType="separate"/>
      </w:r>
      <w:r>
        <w:rPr>
          <w:rStyle w:val="25"/>
          <w:rFonts w:ascii="Times New Roman" w:hAnsi="Times New Roman"/>
        </w:rPr>
        <w:t xml:space="preserve">5.5.3 </w:t>
      </w:r>
      <w:r>
        <w:rPr>
          <w:rStyle w:val="25"/>
          <w:rFonts w:hint="eastAsia" w:hAnsi="宋体" w:eastAsia="宋体" w:cs="宋体"/>
        </w:rPr>
        <w:t>绩效评价</w:t>
      </w:r>
      <w:r>
        <w:tab/>
      </w:r>
      <w:r>
        <w:fldChar w:fldCharType="begin"/>
      </w:r>
      <w:r>
        <w:instrText xml:space="preserve"> PAGEREF _Toc468088656 \h </w:instrText>
      </w:r>
      <w:r>
        <w:fldChar w:fldCharType="separate"/>
      </w:r>
      <w:r>
        <w:t>40</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"_Toc468088657" </w:instrText>
      </w:r>
      <w:r>
        <w:fldChar w:fldCharType="separate"/>
      </w:r>
      <w:r>
        <w:rPr>
          <w:rStyle w:val="25"/>
          <w:rFonts w:ascii="Times New Roman" w:hAnsi="Times New Roman"/>
        </w:rPr>
        <w:t xml:space="preserve">5.6 </w:t>
      </w:r>
      <w:r>
        <w:rPr>
          <w:rStyle w:val="25"/>
          <w:rFonts w:hint="eastAsia" w:hAnsi="宋体" w:eastAsia="宋体" w:cs="宋体"/>
        </w:rPr>
        <w:t>履约保障</w:t>
      </w:r>
      <w:r>
        <w:tab/>
      </w:r>
      <w:r>
        <w:fldChar w:fldCharType="begin"/>
      </w:r>
      <w:r>
        <w:instrText xml:space="preserve"> PAGEREF _Toc468088657 \h </w:instrText>
      </w:r>
      <w:r>
        <w:fldChar w:fldCharType="separate"/>
      </w:r>
      <w:r>
        <w:t>40</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"_Toc468088658" </w:instrText>
      </w:r>
      <w:r>
        <w:fldChar w:fldCharType="separate"/>
      </w:r>
      <w:r>
        <w:rPr>
          <w:rStyle w:val="25"/>
          <w:rFonts w:ascii="Times New Roman" w:hAnsi="Times New Roman"/>
        </w:rPr>
        <w:t xml:space="preserve">5.6.1 </w:t>
      </w:r>
      <w:r>
        <w:rPr>
          <w:rStyle w:val="25"/>
          <w:rFonts w:hint="eastAsia" w:hAnsi="宋体" w:eastAsia="宋体" w:cs="宋体"/>
        </w:rPr>
        <w:t>强制保险</w:t>
      </w:r>
      <w:r>
        <w:tab/>
      </w:r>
      <w:r>
        <w:fldChar w:fldCharType="begin"/>
      </w:r>
      <w:r>
        <w:instrText xml:space="preserve"> PAGEREF _Toc468088658 \h </w:instrText>
      </w:r>
      <w:r>
        <w:fldChar w:fldCharType="separate"/>
      </w:r>
      <w:r>
        <w:t>40</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"_Toc468088659" </w:instrText>
      </w:r>
      <w:r>
        <w:fldChar w:fldCharType="separate"/>
      </w:r>
      <w:r>
        <w:rPr>
          <w:rStyle w:val="25"/>
          <w:rFonts w:ascii="Times New Roman" w:hAnsi="Times New Roman"/>
        </w:rPr>
        <w:t xml:space="preserve">5.6.2 </w:t>
      </w:r>
      <w:r>
        <w:rPr>
          <w:rStyle w:val="25"/>
          <w:rFonts w:hint="eastAsia" w:hAnsi="宋体" w:eastAsia="宋体" w:cs="宋体"/>
        </w:rPr>
        <w:t>履约保证</w:t>
      </w:r>
      <w:r>
        <w:tab/>
      </w:r>
      <w:r>
        <w:fldChar w:fldCharType="begin"/>
      </w:r>
      <w:r>
        <w:instrText xml:space="preserve"> PAGEREF _Toc468088659 \h </w:instrText>
      </w:r>
      <w:r>
        <w:fldChar w:fldCharType="separate"/>
      </w:r>
      <w:r>
        <w:t>41</w:t>
      </w:r>
      <w:r>
        <w:fldChar w:fldCharType="end"/>
      </w:r>
      <w: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"_Toc468088660" </w:instrText>
      </w:r>
      <w:r>
        <w:fldChar w:fldCharType="separate"/>
      </w:r>
      <w:r>
        <w:rPr>
          <w:rStyle w:val="25"/>
          <w:rFonts w:hint="eastAsia" w:ascii="黑体" w:hAnsi="黑体" w:eastAsia="黑体" w:cs="黑体"/>
        </w:rPr>
        <w:t>六、监管架构</w:t>
      </w:r>
      <w:r>
        <w:tab/>
      </w:r>
      <w:r>
        <w:fldChar w:fldCharType="begin"/>
      </w:r>
      <w:r>
        <w:instrText xml:space="preserve"> PAGEREF _Toc468088660 \h </w:instrText>
      </w:r>
      <w:r>
        <w:fldChar w:fldCharType="separate"/>
      </w:r>
      <w:r>
        <w:t>42</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"_Toc468088661" </w:instrText>
      </w:r>
      <w:r>
        <w:fldChar w:fldCharType="separate"/>
      </w:r>
      <w:r>
        <w:rPr>
          <w:rStyle w:val="25"/>
          <w:rFonts w:ascii="Times New Roman" w:hAnsi="Times New Roman"/>
        </w:rPr>
        <w:t xml:space="preserve">6.1 </w:t>
      </w:r>
      <w:r>
        <w:rPr>
          <w:rStyle w:val="25"/>
          <w:rFonts w:hint="eastAsia" w:hAnsi="宋体" w:eastAsia="宋体" w:cs="宋体"/>
        </w:rPr>
        <w:t>授权关系</w:t>
      </w:r>
      <w:r>
        <w:tab/>
      </w:r>
      <w:r>
        <w:fldChar w:fldCharType="begin"/>
      </w:r>
      <w:r>
        <w:instrText xml:space="preserve"> PAGEREF _Toc468088661 \h </w:instrText>
      </w:r>
      <w:r>
        <w:fldChar w:fldCharType="separate"/>
      </w:r>
      <w:r>
        <w:t>42</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"_Toc468088662" </w:instrText>
      </w:r>
      <w:r>
        <w:fldChar w:fldCharType="separate"/>
      </w:r>
      <w:r>
        <w:rPr>
          <w:rStyle w:val="25"/>
          <w:rFonts w:ascii="Times New Roman" w:hAnsi="Times New Roman"/>
        </w:rPr>
        <w:t xml:space="preserve">6.2 </w:t>
      </w:r>
      <w:r>
        <w:rPr>
          <w:rStyle w:val="25"/>
          <w:rFonts w:hint="eastAsia" w:hAnsi="宋体" w:eastAsia="宋体" w:cs="宋体"/>
        </w:rPr>
        <w:t>监管方式</w:t>
      </w:r>
      <w:r>
        <w:tab/>
      </w:r>
      <w:r>
        <w:fldChar w:fldCharType="begin"/>
      </w:r>
      <w:r>
        <w:instrText xml:space="preserve"> PAGEREF _Toc468088662 \h </w:instrText>
      </w:r>
      <w:r>
        <w:fldChar w:fldCharType="separate"/>
      </w:r>
      <w:r>
        <w:t>42</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"_Toc468088663" </w:instrText>
      </w:r>
      <w:r>
        <w:fldChar w:fldCharType="separate"/>
      </w:r>
      <w:r>
        <w:rPr>
          <w:rStyle w:val="25"/>
          <w:rFonts w:ascii="Times New Roman" w:hAnsi="Times New Roman"/>
        </w:rPr>
        <w:t xml:space="preserve">6.2.1 </w:t>
      </w:r>
      <w:r>
        <w:rPr>
          <w:rStyle w:val="25"/>
          <w:rFonts w:hint="eastAsia" w:hAnsi="宋体" w:eastAsia="宋体" w:cs="宋体"/>
        </w:rPr>
        <w:t>行政监管</w:t>
      </w:r>
      <w:r>
        <w:tab/>
      </w:r>
      <w:r>
        <w:fldChar w:fldCharType="begin"/>
      </w:r>
      <w:r>
        <w:instrText xml:space="preserve"> PAGEREF _Toc468088663 \h </w:instrText>
      </w:r>
      <w:r>
        <w:fldChar w:fldCharType="separate"/>
      </w:r>
      <w:r>
        <w:t>42</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"_Toc468088664" </w:instrText>
      </w:r>
      <w:r>
        <w:fldChar w:fldCharType="separate"/>
      </w:r>
      <w:r>
        <w:rPr>
          <w:rStyle w:val="25"/>
          <w:rFonts w:ascii="Times New Roman" w:hAnsi="Times New Roman"/>
        </w:rPr>
        <w:t xml:space="preserve">6.2.2 </w:t>
      </w:r>
      <w:r>
        <w:rPr>
          <w:rStyle w:val="25"/>
          <w:rFonts w:hint="eastAsia" w:hAnsi="宋体" w:eastAsia="宋体" w:cs="宋体"/>
        </w:rPr>
        <w:t>履约管理</w:t>
      </w:r>
      <w:r>
        <w:tab/>
      </w:r>
      <w:r>
        <w:fldChar w:fldCharType="begin"/>
      </w:r>
      <w:r>
        <w:instrText xml:space="preserve"> PAGEREF _Toc468088664 \h </w:instrText>
      </w:r>
      <w:r>
        <w:fldChar w:fldCharType="separate"/>
      </w:r>
      <w:r>
        <w:t>44</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"_Toc468088665" </w:instrText>
      </w:r>
      <w:r>
        <w:fldChar w:fldCharType="separate"/>
      </w:r>
      <w:r>
        <w:rPr>
          <w:rStyle w:val="25"/>
          <w:rFonts w:ascii="Times New Roman" w:hAnsi="Times New Roman"/>
        </w:rPr>
        <w:t xml:space="preserve">6.2.3 </w:t>
      </w:r>
      <w:r>
        <w:rPr>
          <w:rStyle w:val="25"/>
          <w:rFonts w:hint="eastAsia" w:hAnsi="宋体" w:eastAsia="宋体" w:cs="宋体"/>
        </w:rPr>
        <w:t>公众监督</w:t>
      </w:r>
      <w:r>
        <w:tab/>
      </w:r>
      <w:r>
        <w:fldChar w:fldCharType="begin"/>
      </w:r>
      <w:r>
        <w:instrText xml:space="preserve"> PAGEREF _Toc468088665 \h </w:instrText>
      </w:r>
      <w:r>
        <w:fldChar w:fldCharType="separate"/>
      </w:r>
      <w:r>
        <w:t>44</w:t>
      </w:r>
      <w:r>
        <w:fldChar w:fldCharType="end"/>
      </w:r>
      <w: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"_Toc468088666" </w:instrText>
      </w:r>
      <w:r>
        <w:fldChar w:fldCharType="separate"/>
      </w:r>
      <w:r>
        <w:rPr>
          <w:rStyle w:val="25"/>
          <w:rFonts w:hint="eastAsia" w:ascii="黑体" w:hAnsi="黑体" w:eastAsia="黑体" w:cs="黑体"/>
        </w:rPr>
        <w:t>七、社会资本采购方式</w:t>
      </w:r>
      <w:r>
        <w:tab/>
      </w:r>
      <w:r>
        <w:fldChar w:fldCharType="begin"/>
      </w:r>
      <w:r>
        <w:instrText xml:space="preserve"> PAGEREF _Toc468088666 \h </w:instrText>
      </w:r>
      <w:r>
        <w:fldChar w:fldCharType="separate"/>
      </w:r>
      <w:r>
        <w:t>45</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"_Toc468088667" </w:instrText>
      </w:r>
      <w:r>
        <w:fldChar w:fldCharType="separate"/>
      </w:r>
      <w:r>
        <w:rPr>
          <w:rStyle w:val="25"/>
          <w:rFonts w:ascii="Times New Roman" w:hAnsi="Times New Roman"/>
        </w:rPr>
        <w:t xml:space="preserve">7.1 </w:t>
      </w:r>
      <w:r>
        <w:rPr>
          <w:rStyle w:val="25"/>
          <w:rFonts w:hint="eastAsia" w:hAnsi="宋体" w:eastAsia="宋体" w:cs="宋体"/>
        </w:rPr>
        <w:t>采购方式</w:t>
      </w:r>
      <w:r>
        <w:tab/>
      </w:r>
      <w:r>
        <w:fldChar w:fldCharType="begin"/>
      </w:r>
      <w:r>
        <w:instrText xml:space="preserve"> PAGEREF _Toc468088667 \h </w:instrText>
      </w:r>
      <w:r>
        <w:fldChar w:fldCharType="separate"/>
      </w:r>
      <w:r>
        <w:t>45</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"_Toc468088668" </w:instrText>
      </w:r>
      <w:r>
        <w:fldChar w:fldCharType="separate"/>
      </w:r>
      <w:r>
        <w:rPr>
          <w:rStyle w:val="25"/>
          <w:rFonts w:ascii="Times New Roman" w:hAnsi="Times New Roman"/>
        </w:rPr>
        <w:t xml:space="preserve">7.2 </w:t>
      </w:r>
      <w:r>
        <w:rPr>
          <w:rStyle w:val="25"/>
          <w:rFonts w:hint="eastAsia" w:hAnsi="宋体" w:eastAsia="宋体" w:cs="宋体"/>
        </w:rPr>
        <w:t>资格条件</w:t>
      </w:r>
      <w:r>
        <w:tab/>
      </w:r>
      <w:r>
        <w:fldChar w:fldCharType="begin"/>
      </w:r>
      <w:r>
        <w:instrText xml:space="preserve"> PAGEREF _Toc468088668 \h </w:instrText>
      </w:r>
      <w:r>
        <w:fldChar w:fldCharType="separate"/>
      </w:r>
      <w:r>
        <w:t>45</w:t>
      </w:r>
      <w:r>
        <w:fldChar w:fldCharType="end"/>
      </w:r>
      <w: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"_Toc468088669" </w:instrText>
      </w:r>
      <w:r>
        <w:fldChar w:fldCharType="separate"/>
      </w:r>
      <w:r>
        <w:rPr>
          <w:rStyle w:val="25"/>
          <w:rFonts w:hint="eastAsia" w:ascii="黑体" w:hAnsi="黑体" w:eastAsia="黑体" w:cs="黑体"/>
        </w:rPr>
        <w:t>八、财务测算</w:t>
      </w:r>
      <w:r>
        <w:tab/>
      </w:r>
      <w:r>
        <w:fldChar w:fldCharType="begin"/>
      </w:r>
      <w:r>
        <w:instrText xml:space="preserve"> PAGEREF _Toc468088669 \h </w:instrText>
      </w:r>
      <w:r>
        <w:fldChar w:fldCharType="separate"/>
      </w:r>
      <w:r>
        <w:t>46</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"_Toc468088670" </w:instrText>
      </w:r>
      <w:r>
        <w:fldChar w:fldCharType="separate"/>
      </w:r>
      <w:r>
        <w:rPr>
          <w:rStyle w:val="25"/>
          <w:rFonts w:ascii="Times New Roman" w:hAnsi="Times New Roman"/>
        </w:rPr>
        <w:t xml:space="preserve">8.1 </w:t>
      </w:r>
      <w:r>
        <w:rPr>
          <w:rStyle w:val="25"/>
          <w:rFonts w:hint="eastAsia" w:hAnsi="宋体" w:eastAsia="宋体" w:cs="宋体"/>
        </w:rPr>
        <w:t>项目总投资</w:t>
      </w:r>
      <w:r>
        <w:tab/>
      </w:r>
      <w:r>
        <w:fldChar w:fldCharType="begin"/>
      </w:r>
      <w:r>
        <w:instrText xml:space="preserve"> PAGEREF _Toc468088670 \h </w:instrText>
      </w:r>
      <w:r>
        <w:fldChar w:fldCharType="separate"/>
      </w:r>
      <w:r>
        <w:t>46</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"_Toc468088671" </w:instrText>
      </w:r>
      <w:r>
        <w:fldChar w:fldCharType="separate"/>
      </w:r>
      <w:r>
        <w:rPr>
          <w:rStyle w:val="25"/>
          <w:rFonts w:ascii="Times New Roman" w:hAnsi="Times New Roman"/>
        </w:rPr>
        <w:t xml:space="preserve">8.2 </w:t>
      </w:r>
      <w:r>
        <w:rPr>
          <w:rStyle w:val="25"/>
          <w:rFonts w:hint="eastAsia" w:hAnsi="宋体" w:eastAsia="宋体" w:cs="宋体"/>
        </w:rPr>
        <w:t>投融资方案</w:t>
      </w:r>
      <w:r>
        <w:tab/>
      </w:r>
      <w:r>
        <w:fldChar w:fldCharType="begin"/>
      </w:r>
      <w:r>
        <w:instrText xml:space="preserve"> PAGEREF _Toc468088671 \h </w:instrText>
      </w:r>
      <w:r>
        <w:fldChar w:fldCharType="separate"/>
      </w:r>
      <w:r>
        <w:t>46</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"_Toc468088672" </w:instrText>
      </w:r>
      <w:r>
        <w:fldChar w:fldCharType="separate"/>
      </w:r>
      <w:r>
        <w:rPr>
          <w:rStyle w:val="25"/>
          <w:rFonts w:ascii="Times New Roman" w:hAnsi="Times New Roman"/>
        </w:rPr>
        <w:t xml:space="preserve">8.3 </w:t>
      </w:r>
      <w:r>
        <w:rPr>
          <w:rStyle w:val="25"/>
          <w:rFonts w:hint="eastAsia" w:hAnsi="宋体" w:eastAsia="宋体" w:cs="宋体"/>
        </w:rPr>
        <w:t>基本参数及假设条件</w:t>
      </w:r>
      <w:r>
        <w:tab/>
      </w:r>
      <w:r>
        <w:fldChar w:fldCharType="begin"/>
      </w:r>
      <w:r>
        <w:instrText xml:space="preserve"> PAGEREF _Toc468088672 \h </w:instrText>
      </w:r>
      <w:r>
        <w:fldChar w:fldCharType="separate"/>
      </w:r>
      <w:r>
        <w:t>46</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"_Toc468088673" </w:instrText>
      </w:r>
      <w:r>
        <w:fldChar w:fldCharType="separate"/>
      </w:r>
      <w:r>
        <w:rPr>
          <w:rStyle w:val="25"/>
          <w:rFonts w:ascii="Times New Roman" w:hAnsi="Times New Roman"/>
        </w:rPr>
        <w:t xml:space="preserve">8.3.1 </w:t>
      </w:r>
      <w:r>
        <w:rPr>
          <w:rStyle w:val="25"/>
          <w:rFonts w:hint="eastAsia" w:hAnsi="宋体" w:eastAsia="宋体" w:cs="宋体"/>
        </w:rPr>
        <w:t>年度折现率</w:t>
      </w:r>
      <w:r>
        <w:tab/>
      </w:r>
      <w:r>
        <w:fldChar w:fldCharType="begin"/>
      </w:r>
      <w:r>
        <w:instrText xml:space="preserve"> PAGEREF _Toc468088673 \h </w:instrText>
      </w:r>
      <w:r>
        <w:fldChar w:fldCharType="separate"/>
      </w:r>
      <w:r>
        <w:t>46</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"_Toc468088674" </w:instrText>
      </w:r>
      <w:r>
        <w:fldChar w:fldCharType="separate"/>
      </w:r>
      <w:r>
        <w:rPr>
          <w:rStyle w:val="25"/>
          <w:rFonts w:ascii="Times New Roman" w:hAnsi="Times New Roman"/>
        </w:rPr>
        <w:t xml:space="preserve">8.3.2 </w:t>
      </w:r>
      <w:r>
        <w:rPr>
          <w:rStyle w:val="25"/>
          <w:rFonts w:hint="eastAsia" w:hAnsi="宋体" w:eastAsia="宋体" w:cs="宋体"/>
        </w:rPr>
        <w:t>债务资金成本</w:t>
      </w:r>
      <w:r>
        <w:tab/>
      </w:r>
      <w:r>
        <w:fldChar w:fldCharType="begin"/>
      </w:r>
      <w:r>
        <w:instrText xml:space="preserve"> PAGEREF _Toc468088674 \h </w:instrText>
      </w:r>
      <w:r>
        <w:fldChar w:fldCharType="separate"/>
      </w:r>
      <w:r>
        <w:t>46</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"_Toc468088675" </w:instrText>
      </w:r>
      <w:r>
        <w:fldChar w:fldCharType="separate"/>
      </w:r>
      <w:r>
        <w:rPr>
          <w:rStyle w:val="25"/>
          <w:rFonts w:ascii="Times New Roman" w:hAnsi="Times New Roman"/>
        </w:rPr>
        <w:t xml:space="preserve">8.3.3 </w:t>
      </w:r>
      <w:r>
        <w:rPr>
          <w:rStyle w:val="25"/>
          <w:rFonts w:hint="eastAsia" w:hAnsi="宋体" w:eastAsia="宋体" w:cs="宋体"/>
        </w:rPr>
        <w:t>合理利润率</w:t>
      </w:r>
      <w:r>
        <w:tab/>
      </w:r>
      <w:r>
        <w:fldChar w:fldCharType="begin"/>
      </w:r>
      <w:r>
        <w:instrText xml:space="preserve"> PAGEREF _Toc468088675 \h </w:instrText>
      </w:r>
      <w:r>
        <w:fldChar w:fldCharType="separate"/>
      </w:r>
      <w:r>
        <w:t>46</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"_Toc468088676" </w:instrText>
      </w:r>
      <w:r>
        <w:fldChar w:fldCharType="separate"/>
      </w:r>
      <w:r>
        <w:rPr>
          <w:rStyle w:val="25"/>
          <w:rFonts w:ascii="Times New Roman" w:hAnsi="Times New Roman"/>
        </w:rPr>
        <w:t xml:space="preserve">8.4 </w:t>
      </w:r>
      <w:r>
        <w:rPr>
          <w:rStyle w:val="25"/>
          <w:rFonts w:hint="eastAsia" w:hAnsi="宋体" w:eastAsia="宋体" w:cs="宋体"/>
        </w:rPr>
        <w:t>收入测算</w:t>
      </w:r>
      <w:r>
        <w:tab/>
      </w:r>
      <w:r>
        <w:fldChar w:fldCharType="begin"/>
      </w:r>
      <w:r>
        <w:instrText xml:space="preserve"> PAGEREF _Toc468088676 \h </w:instrText>
      </w:r>
      <w:r>
        <w:fldChar w:fldCharType="separate"/>
      </w:r>
      <w:r>
        <w:t>47</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"_Toc468088677" </w:instrText>
      </w:r>
      <w:r>
        <w:fldChar w:fldCharType="separate"/>
      </w:r>
      <w:r>
        <w:rPr>
          <w:rStyle w:val="25"/>
          <w:rFonts w:ascii="Times New Roman" w:hAnsi="Times New Roman"/>
        </w:rPr>
        <w:t xml:space="preserve">8.4.1 </w:t>
      </w:r>
      <w:r>
        <w:rPr>
          <w:rStyle w:val="25"/>
          <w:rFonts w:hint="eastAsia" w:hAnsi="宋体" w:eastAsia="宋体" w:cs="宋体"/>
        </w:rPr>
        <w:t>产出能力</w:t>
      </w:r>
      <w:r>
        <w:tab/>
      </w:r>
      <w:r>
        <w:fldChar w:fldCharType="begin"/>
      </w:r>
      <w:r>
        <w:instrText xml:space="preserve"> PAGEREF _Toc468088677 \h </w:instrText>
      </w:r>
      <w:r>
        <w:fldChar w:fldCharType="separate"/>
      </w:r>
      <w:r>
        <w:t>47</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"_Toc468088678" </w:instrText>
      </w:r>
      <w:r>
        <w:fldChar w:fldCharType="separate"/>
      </w:r>
      <w:r>
        <w:rPr>
          <w:rStyle w:val="25"/>
          <w:rFonts w:ascii="Times New Roman" w:hAnsi="Times New Roman"/>
        </w:rPr>
        <w:t xml:space="preserve">8.4.2 </w:t>
      </w:r>
      <w:r>
        <w:rPr>
          <w:rStyle w:val="25"/>
          <w:rFonts w:hint="eastAsia" w:hAnsi="宋体" w:eastAsia="宋体" w:cs="宋体"/>
        </w:rPr>
        <w:t>收费标准</w:t>
      </w:r>
      <w:r>
        <w:tab/>
      </w:r>
      <w:r>
        <w:fldChar w:fldCharType="begin"/>
      </w:r>
      <w:r>
        <w:instrText xml:space="preserve"> PAGEREF _Toc468088678 \h </w:instrText>
      </w:r>
      <w:r>
        <w:fldChar w:fldCharType="separate"/>
      </w:r>
      <w:r>
        <w:t>47</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"_Toc468088679" </w:instrText>
      </w:r>
      <w:r>
        <w:fldChar w:fldCharType="separate"/>
      </w:r>
      <w:r>
        <w:rPr>
          <w:rStyle w:val="25"/>
          <w:rFonts w:ascii="Times New Roman" w:hAnsi="Times New Roman"/>
        </w:rPr>
        <w:t xml:space="preserve">8.4.3 </w:t>
      </w:r>
      <w:r>
        <w:rPr>
          <w:rStyle w:val="25"/>
          <w:rFonts w:hint="eastAsia" w:hAnsi="宋体" w:eastAsia="宋体" w:cs="宋体"/>
        </w:rPr>
        <w:t>运营收入</w:t>
      </w:r>
      <w:r>
        <w:tab/>
      </w:r>
      <w:r>
        <w:fldChar w:fldCharType="begin"/>
      </w:r>
      <w:r>
        <w:instrText xml:space="preserve"> PAGEREF _Toc468088679 \h </w:instrText>
      </w:r>
      <w:r>
        <w:fldChar w:fldCharType="separate"/>
      </w:r>
      <w:r>
        <w:t>48</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"_Toc468088680" </w:instrText>
      </w:r>
      <w:r>
        <w:fldChar w:fldCharType="separate"/>
      </w:r>
      <w:r>
        <w:rPr>
          <w:rStyle w:val="25"/>
          <w:rFonts w:ascii="Times New Roman" w:hAnsi="Times New Roman"/>
        </w:rPr>
        <w:t xml:space="preserve">8.5 </w:t>
      </w:r>
      <w:r>
        <w:rPr>
          <w:rStyle w:val="25"/>
          <w:rFonts w:hint="eastAsia" w:hAnsi="宋体" w:eastAsia="宋体" w:cs="宋体"/>
        </w:rPr>
        <w:t>成本测算</w:t>
      </w:r>
      <w:r>
        <w:tab/>
      </w:r>
      <w:r>
        <w:fldChar w:fldCharType="begin"/>
      </w:r>
      <w:r>
        <w:instrText xml:space="preserve"> PAGEREF _Toc468088680 \h </w:instrText>
      </w:r>
      <w:r>
        <w:fldChar w:fldCharType="separate"/>
      </w:r>
      <w:r>
        <w:t>48</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"_Toc468088681" </w:instrText>
      </w:r>
      <w:r>
        <w:fldChar w:fldCharType="separate"/>
      </w:r>
      <w:r>
        <w:rPr>
          <w:rStyle w:val="25"/>
          <w:rFonts w:ascii="Times New Roman" w:hAnsi="Times New Roman"/>
        </w:rPr>
        <w:t xml:space="preserve">8.5.1 </w:t>
      </w:r>
      <w:r>
        <w:rPr>
          <w:rStyle w:val="25"/>
          <w:rFonts w:hint="eastAsia" w:hAnsi="宋体" w:eastAsia="宋体" w:cs="宋体"/>
        </w:rPr>
        <w:t>运营成本</w:t>
      </w:r>
      <w:r>
        <w:tab/>
      </w:r>
      <w:r>
        <w:fldChar w:fldCharType="begin"/>
      </w:r>
      <w:r>
        <w:instrText xml:space="preserve"> PAGEREF _Toc468088681 \h </w:instrText>
      </w:r>
      <w:r>
        <w:fldChar w:fldCharType="separate"/>
      </w:r>
      <w:r>
        <w:t>48</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"_Toc468088682" </w:instrText>
      </w:r>
      <w:r>
        <w:fldChar w:fldCharType="separate"/>
      </w:r>
      <w:r>
        <w:rPr>
          <w:rStyle w:val="25"/>
          <w:rFonts w:ascii="Times New Roman" w:hAnsi="Times New Roman"/>
        </w:rPr>
        <w:t xml:space="preserve">8.5.2 </w:t>
      </w:r>
      <w:r>
        <w:rPr>
          <w:rStyle w:val="25"/>
          <w:rFonts w:hint="eastAsia" w:hAnsi="宋体" w:eastAsia="宋体" w:cs="宋体"/>
        </w:rPr>
        <w:t>税费</w:t>
      </w:r>
      <w:r>
        <w:tab/>
      </w:r>
      <w:r>
        <w:fldChar w:fldCharType="begin"/>
      </w:r>
      <w:r>
        <w:instrText xml:space="preserve"> PAGEREF _Toc468088682 \h </w:instrText>
      </w:r>
      <w:r>
        <w:fldChar w:fldCharType="separate"/>
      </w:r>
      <w:r>
        <w:t>49</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"_Toc468088683" </w:instrText>
      </w:r>
      <w:r>
        <w:fldChar w:fldCharType="separate"/>
      </w:r>
      <w:r>
        <w:rPr>
          <w:rStyle w:val="25"/>
          <w:rFonts w:ascii="Times New Roman" w:hAnsi="Times New Roman"/>
        </w:rPr>
        <w:t xml:space="preserve">8.5.3 </w:t>
      </w:r>
      <w:r>
        <w:rPr>
          <w:rStyle w:val="25"/>
          <w:rFonts w:hint="eastAsia" w:hAnsi="宋体" w:eastAsia="宋体" w:cs="宋体"/>
        </w:rPr>
        <w:t>资产摊销</w:t>
      </w:r>
      <w:r>
        <w:tab/>
      </w:r>
      <w:r>
        <w:fldChar w:fldCharType="begin"/>
      </w:r>
      <w:r>
        <w:instrText xml:space="preserve"> PAGEREF _Toc468088683 \h </w:instrText>
      </w:r>
      <w:r>
        <w:fldChar w:fldCharType="separate"/>
      </w:r>
      <w:r>
        <w:t>49</w:t>
      </w:r>
      <w:r>
        <w:fldChar w:fldCharType="end"/>
      </w:r>
      <w:r>
        <w:fldChar w:fldCharType="end"/>
      </w:r>
    </w:p>
    <w:p>
      <w:pPr>
        <w:pStyle w:val="10"/>
        <w:tabs>
          <w:tab w:val="right" w:leader="dot" w:pos="8302"/>
        </w:tabs>
        <w:ind w:firstLine="960"/>
        <w:rPr>
          <w:rFonts w:asciiTheme="minorHAnsi" w:hAnsiTheme="minorHAnsi" w:eastAsiaTheme="minorEastAsia" w:cstheme="minorBidi"/>
          <w:kern w:val="2"/>
          <w:sz w:val="21"/>
          <w:szCs w:val="22"/>
        </w:rPr>
      </w:pPr>
      <w:r>
        <w:fldChar w:fldCharType="begin"/>
      </w:r>
      <w:r>
        <w:instrText xml:space="preserve"> HYPERLINK \l "_Toc468088684" </w:instrText>
      </w:r>
      <w:r>
        <w:fldChar w:fldCharType="separate"/>
      </w:r>
      <w:r>
        <w:rPr>
          <w:rStyle w:val="25"/>
          <w:rFonts w:ascii="Times New Roman" w:hAnsi="Times New Roman"/>
        </w:rPr>
        <w:t xml:space="preserve">8.5.4 </w:t>
      </w:r>
      <w:r>
        <w:rPr>
          <w:rStyle w:val="25"/>
          <w:rFonts w:hint="eastAsia" w:hAnsi="宋体" w:eastAsia="宋体" w:cs="宋体"/>
        </w:rPr>
        <w:t>资金成本</w:t>
      </w:r>
      <w:r>
        <w:tab/>
      </w:r>
      <w:r>
        <w:fldChar w:fldCharType="begin"/>
      </w:r>
      <w:r>
        <w:instrText xml:space="preserve"> PAGEREF _Toc468088684 \h </w:instrText>
      </w:r>
      <w:r>
        <w:fldChar w:fldCharType="separate"/>
      </w:r>
      <w:r>
        <w:t>49</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"_Toc468088685" </w:instrText>
      </w:r>
      <w:r>
        <w:fldChar w:fldCharType="separate"/>
      </w:r>
      <w:r>
        <w:rPr>
          <w:rStyle w:val="25"/>
          <w:rFonts w:ascii="Times New Roman" w:hAnsi="Times New Roman"/>
        </w:rPr>
        <w:t xml:space="preserve">8.6 </w:t>
      </w:r>
      <w:r>
        <w:rPr>
          <w:rStyle w:val="25"/>
          <w:rFonts w:hint="eastAsia" w:hAnsi="宋体" w:eastAsia="宋体" w:cs="宋体"/>
        </w:rPr>
        <w:t>可行性缺口补助</w:t>
      </w:r>
      <w:r>
        <w:tab/>
      </w:r>
      <w:r>
        <w:fldChar w:fldCharType="begin"/>
      </w:r>
      <w:r>
        <w:instrText xml:space="preserve"> PAGEREF _Toc468088685 \h </w:instrText>
      </w:r>
      <w:r>
        <w:fldChar w:fldCharType="separate"/>
      </w:r>
      <w:r>
        <w:t>50</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"_Toc468088686" </w:instrText>
      </w:r>
      <w:r>
        <w:fldChar w:fldCharType="separate"/>
      </w:r>
      <w:r>
        <w:rPr>
          <w:rStyle w:val="25"/>
          <w:rFonts w:ascii="Times New Roman" w:hAnsi="Times New Roman"/>
        </w:rPr>
        <w:t xml:space="preserve">8.7 </w:t>
      </w:r>
      <w:r>
        <w:rPr>
          <w:rStyle w:val="25"/>
          <w:rFonts w:hint="eastAsia" w:hAnsi="宋体" w:eastAsia="宋体" w:cs="宋体"/>
        </w:rPr>
        <w:t>财务测算结果分析</w:t>
      </w:r>
      <w:r>
        <w:tab/>
      </w:r>
      <w:r>
        <w:fldChar w:fldCharType="begin"/>
      </w:r>
      <w:r>
        <w:instrText xml:space="preserve"> PAGEREF _Toc468088686 \h </w:instrText>
      </w:r>
      <w:r>
        <w:fldChar w:fldCharType="separate"/>
      </w:r>
      <w:r>
        <w:t>50</w:t>
      </w:r>
      <w:r>
        <w:fldChar w:fldCharType="end"/>
      </w:r>
      <w:r>
        <w:fldChar w:fldCharType="end"/>
      </w:r>
    </w:p>
    <w:p>
      <w:pPr>
        <w:pStyle w:val="15"/>
        <w:rPr>
          <w:rFonts w:asciiTheme="minorHAnsi" w:hAnsiTheme="minorHAnsi" w:eastAsiaTheme="minorEastAsia" w:cstheme="minorBidi"/>
          <w:kern w:val="2"/>
          <w:sz w:val="21"/>
          <w:szCs w:val="22"/>
        </w:rPr>
      </w:pPr>
      <w:r>
        <w:fldChar w:fldCharType="begin"/>
      </w:r>
      <w:r>
        <w:instrText xml:space="preserve"> HYPERLINK \l "_Toc468088687" </w:instrText>
      </w:r>
      <w:r>
        <w:fldChar w:fldCharType="separate"/>
      </w:r>
      <w:r>
        <w:rPr>
          <w:rStyle w:val="25"/>
          <w:rFonts w:hint="eastAsia" w:ascii="黑体" w:hAnsi="黑体" w:eastAsia="黑体" w:cs="黑体"/>
        </w:rPr>
        <w:t>九、项目前景</w:t>
      </w:r>
      <w:r>
        <w:tab/>
      </w:r>
      <w:r>
        <w:fldChar w:fldCharType="begin"/>
      </w:r>
      <w:r>
        <w:instrText xml:space="preserve"> PAGEREF _Toc468088687 \h </w:instrText>
      </w:r>
      <w:r>
        <w:fldChar w:fldCharType="separate"/>
      </w:r>
      <w:r>
        <w:t>51</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"_Toc468088688" </w:instrText>
      </w:r>
      <w:r>
        <w:fldChar w:fldCharType="separate"/>
      </w:r>
      <w:r>
        <w:rPr>
          <w:rStyle w:val="25"/>
          <w:rFonts w:ascii="Times New Roman" w:hAnsi="Times New Roman"/>
        </w:rPr>
        <w:t xml:space="preserve">9.1 </w:t>
      </w:r>
      <w:r>
        <w:rPr>
          <w:rStyle w:val="25"/>
          <w:rFonts w:hint="eastAsia" w:hAnsi="宋体" w:eastAsia="宋体" w:cs="宋体"/>
        </w:rPr>
        <w:t>项目实施时序安排</w:t>
      </w:r>
      <w:r>
        <w:tab/>
      </w:r>
      <w:r>
        <w:fldChar w:fldCharType="begin"/>
      </w:r>
      <w:r>
        <w:instrText xml:space="preserve"> PAGEREF _Toc468088688 \h </w:instrText>
      </w:r>
      <w:r>
        <w:fldChar w:fldCharType="separate"/>
      </w:r>
      <w:r>
        <w:t>51</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"_Toc468088689" </w:instrText>
      </w:r>
      <w:r>
        <w:fldChar w:fldCharType="separate"/>
      </w:r>
      <w:r>
        <w:rPr>
          <w:rStyle w:val="25"/>
          <w:rFonts w:ascii="Times New Roman" w:hAnsi="Times New Roman"/>
        </w:rPr>
        <w:t xml:space="preserve">9.2 </w:t>
      </w:r>
      <w:r>
        <w:rPr>
          <w:rStyle w:val="25"/>
          <w:rFonts w:hint="eastAsia" w:hAnsi="宋体" w:eastAsia="宋体" w:cs="宋体"/>
        </w:rPr>
        <w:t>前景评估和总体规划</w:t>
      </w:r>
      <w:r>
        <w:tab/>
      </w:r>
      <w:r>
        <w:fldChar w:fldCharType="begin"/>
      </w:r>
      <w:r>
        <w:instrText xml:space="preserve"> PAGEREF _Toc468088689 \h </w:instrText>
      </w:r>
      <w:r>
        <w:fldChar w:fldCharType="separate"/>
      </w:r>
      <w:r>
        <w:t>51</w:t>
      </w:r>
      <w:r>
        <w:fldChar w:fldCharType="end"/>
      </w:r>
      <w:r>
        <w:fldChar w:fldCharType="end"/>
      </w:r>
    </w:p>
    <w:p>
      <w:pPr>
        <w:pStyle w:val="18"/>
        <w:ind w:firstLine="480"/>
        <w:rPr>
          <w:rFonts w:asciiTheme="minorHAnsi" w:hAnsiTheme="minorHAnsi" w:eastAsiaTheme="minorEastAsia" w:cstheme="minorBidi"/>
          <w:kern w:val="2"/>
          <w:sz w:val="21"/>
          <w:szCs w:val="22"/>
        </w:rPr>
      </w:pPr>
      <w:r>
        <w:fldChar w:fldCharType="begin"/>
      </w:r>
      <w:r>
        <w:instrText xml:space="preserve"> HYPERLINK \l "_Toc468088690" </w:instrText>
      </w:r>
      <w:r>
        <w:fldChar w:fldCharType="separate"/>
      </w:r>
      <w:r>
        <w:rPr>
          <w:rStyle w:val="25"/>
          <w:rFonts w:ascii="Times New Roman" w:hAnsi="Times New Roman"/>
        </w:rPr>
        <w:t xml:space="preserve">9.3 </w:t>
      </w:r>
      <w:r>
        <w:rPr>
          <w:rStyle w:val="25"/>
          <w:rFonts w:hint="eastAsia" w:hAnsi="宋体" w:eastAsia="宋体" w:cs="宋体"/>
        </w:rPr>
        <w:t>主要政策需求及建议</w:t>
      </w:r>
      <w:r>
        <w:tab/>
      </w:r>
      <w:r>
        <w:fldChar w:fldCharType="begin"/>
      </w:r>
      <w:r>
        <w:instrText xml:space="preserve"> PAGEREF _Toc468088690 \h </w:instrText>
      </w:r>
      <w:r>
        <w:fldChar w:fldCharType="separate"/>
      </w:r>
      <w:r>
        <w:t>52</w:t>
      </w:r>
      <w:r>
        <w:fldChar w:fldCharType="end"/>
      </w:r>
      <w:r>
        <w:fldChar w:fldCharType="end"/>
      </w:r>
    </w:p>
    <w:p>
      <w:pPr>
        <w:pStyle w:val="15"/>
        <w:ind w:firstLine="562"/>
        <w:rPr>
          <w:rFonts w:asciiTheme="minorHAnsi" w:hAnsiTheme="minorHAnsi" w:eastAsiaTheme="minorEastAsia" w:cstheme="minorBidi"/>
          <w:kern w:val="2"/>
          <w:sz w:val="21"/>
          <w:szCs w:val="22"/>
        </w:rPr>
      </w:pPr>
      <w:r>
        <w:fldChar w:fldCharType="begin"/>
      </w:r>
      <w:r>
        <w:instrText xml:space="preserve"> HYPERLINK \l "_Toc468088691" </w:instrText>
      </w:r>
      <w:r>
        <w:fldChar w:fldCharType="separate"/>
      </w:r>
      <w:r>
        <w:rPr>
          <w:rStyle w:val="25"/>
          <w:rFonts w:hint="eastAsia" w:hAnsi="宋体" w:eastAsia="宋体" w:cs="宋体"/>
        </w:rPr>
        <w:t>附件：财务测算附表</w:t>
      </w:r>
      <w:r>
        <w:tab/>
      </w:r>
      <w:r>
        <w:fldChar w:fldCharType="begin"/>
      </w:r>
      <w:r>
        <w:instrText xml:space="preserve"> PAGEREF _Toc468088691 \h </w:instrText>
      </w:r>
      <w:r>
        <w:fldChar w:fldCharType="separate"/>
      </w:r>
      <w:r>
        <w:t>52</w:t>
      </w:r>
      <w:r>
        <w:fldChar w:fldCharType="end"/>
      </w:r>
      <w:r>
        <w:fldChar w:fldCharType="end"/>
      </w:r>
    </w:p>
    <w:p>
      <w:pPr>
        <w:ind w:firstLine="0" w:firstLineChars="0"/>
      </w:pPr>
      <w:r>
        <w:fldChar w:fldCharType="end"/>
      </w:r>
    </w:p>
    <w:p>
      <w:pPr>
        <w:ind w:firstLine="560"/>
      </w:pPr>
    </w:p>
    <w:p>
      <w:pPr>
        <w:ind w:firstLine="560"/>
      </w:pPr>
    </w:p>
    <w:p>
      <w:pPr>
        <w:ind w:firstLine="560"/>
        <w:rPr>
          <w:rFonts w:ascii="Times New Roman" w:hAnsi="Times New Roman"/>
          <w:szCs w:val="28"/>
        </w:rPr>
        <w:sectPr>
          <w:footerReference r:id="rId9" w:type="default"/>
          <w:pgSz w:w="11906" w:h="16838"/>
          <w:pgMar w:top="1440" w:right="1797" w:bottom="1440" w:left="1797" w:header="851" w:footer="992" w:gutter="0"/>
          <w:pgNumType w:start="1"/>
          <w:cols w:space="425" w:num="1"/>
          <w:docGrid w:type="lines" w:linePitch="326" w:charSpace="0"/>
        </w:sectPr>
      </w:pPr>
    </w:p>
    <w:p>
      <w:pPr>
        <w:ind w:firstLine="560"/>
        <w:rPr>
          <w:rFonts w:ascii="Times New Roman" w:hAnsi="Times New Roman"/>
          <w:szCs w:val="28"/>
        </w:rPr>
      </w:pPr>
      <w:r>
        <w:rPr>
          <w:rFonts w:ascii="Times New Roman" w:hAnsi="Times New Roman"/>
          <w:szCs w:val="28"/>
        </w:rPr>
        <w:t>在公共服务领域推广政府和社会资本合作模式（PPP）是基础设施和公用事业领域投融资体制改革的重大创新，也是贯彻落实供给侧结构</w:t>
      </w:r>
      <w:r>
        <w:rPr>
          <w:rFonts w:hint="eastAsia" w:ascii="Times New Roman" w:hAnsi="Times New Roman"/>
          <w:szCs w:val="28"/>
          <w:lang w:eastAsia="zh-CN"/>
        </w:rPr>
        <w:t>性</w:t>
      </w:r>
      <w:bookmarkStart w:id="379" w:name="_GoBack"/>
      <w:bookmarkEnd w:id="379"/>
      <w:r>
        <w:rPr>
          <w:rFonts w:ascii="Times New Roman" w:hAnsi="Times New Roman"/>
          <w:szCs w:val="28"/>
        </w:rPr>
        <w:t>改革的重大举措。在经济发展进入新常态的背景下，吸引社会资本参与公共产品和公共服务投资、运营管理，提高公共产品和公共服务供给能力与效率是惠民生、促改革、稳增长、防风险的重要措施。</w:t>
      </w:r>
    </w:p>
    <w:p>
      <w:pPr>
        <w:ind w:firstLine="560"/>
        <w:rPr>
          <w:rFonts w:ascii="Times New Roman" w:hAnsi="Times New Roman"/>
          <w:szCs w:val="28"/>
        </w:rPr>
      </w:pPr>
      <w:r>
        <w:rPr>
          <w:rFonts w:ascii="Times New Roman" w:hAnsi="Times New Roman"/>
          <w:szCs w:val="28"/>
        </w:rPr>
        <w:t>为切实推动呈贡中心粮库PPP项目实施进程，根据区人民政府工作安排，呈贡区粮食局委托第三方咨询机构编制项目实施方案。实施方案的制定旨在明确PPP项目实施过程中的核心事项和关键环节，重点包括：项目产出说明、绩效要求、股权结构、运作方式、回报机制、配套安排、采购方式、交易结构、风险分配、合同管理体系、违约责任、退出机制和纠纷解决等关键内容。</w:t>
      </w:r>
    </w:p>
    <w:p>
      <w:pPr>
        <w:pStyle w:val="2"/>
        <w:spacing w:before="240" w:after="240" w:line="560" w:lineRule="exact"/>
        <w:ind w:firstLine="562"/>
        <w:jc w:val="left"/>
        <w:rPr>
          <w:rFonts w:ascii="黑体" w:hAnsi="黑体" w:eastAsia="黑体" w:cs="黑体"/>
          <w:sz w:val="28"/>
          <w:szCs w:val="28"/>
        </w:rPr>
      </w:pPr>
      <w:bookmarkStart w:id="0" w:name="_Toc7184"/>
      <w:bookmarkStart w:id="1" w:name="_Toc468088586"/>
      <w:r>
        <w:rPr>
          <w:rFonts w:hint="eastAsia" w:ascii="黑体" w:hAnsi="黑体" w:eastAsia="黑体" w:cs="黑体"/>
          <w:sz w:val="28"/>
          <w:szCs w:val="28"/>
        </w:rPr>
        <w:t>一、项目基本情况</w:t>
      </w:r>
      <w:bookmarkEnd w:id="0"/>
      <w:bookmarkEnd w:id="1"/>
    </w:p>
    <w:p>
      <w:pPr>
        <w:pStyle w:val="3"/>
        <w:spacing w:before="200" w:after="200" w:line="560" w:lineRule="exact"/>
        <w:ind w:firstLine="562"/>
        <w:jc w:val="left"/>
        <w:rPr>
          <w:rFonts w:ascii="Times New Roman" w:hAnsi="Times New Roman"/>
          <w:szCs w:val="28"/>
        </w:rPr>
      </w:pPr>
      <w:bookmarkStart w:id="2" w:name="_Toc20817"/>
      <w:bookmarkStart w:id="3" w:name="_Toc20893"/>
      <w:bookmarkStart w:id="4" w:name="_Toc32365"/>
      <w:bookmarkStart w:id="5" w:name="_Toc29719"/>
      <w:bookmarkStart w:id="6" w:name="_Toc30909"/>
      <w:bookmarkStart w:id="7" w:name="_Toc20071"/>
      <w:bookmarkStart w:id="8" w:name="_Toc13943"/>
      <w:bookmarkStart w:id="9" w:name="_Toc15692"/>
      <w:bookmarkStart w:id="10" w:name="_Toc12471"/>
      <w:bookmarkStart w:id="11" w:name="_Toc31725"/>
      <w:bookmarkStart w:id="12" w:name="_Toc8174"/>
      <w:bookmarkStart w:id="13" w:name="_Toc14648"/>
      <w:bookmarkStart w:id="14" w:name="_Toc16521"/>
      <w:bookmarkStart w:id="15" w:name="_Toc14470"/>
      <w:bookmarkStart w:id="16" w:name="_Toc11029"/>
      <w:bookmarkStart w:id="17" w:name="_Toc15143"/>
      <w:bookmarkStart w:id="18" w:name="_Toc25122"/>
      <w:bookmarkStart w:id="19" w:name="_Toc468088587"/>
      <w:bookmarkStart w:id="20" w:name="_Toc24200"/>
      <w:r>
        <w:rPr>
          <w:rFonts w:ascii="Times New Roman" w:hAnsi="Times New Roman"/>
          <w:szCs w:val="28"/>
        </w:rPr>
        <w:t>1.1 项目名称</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ind w:firstLine="560"/>
        <w:rPr>
          <w:rFonts w:ascii="仿宋" w:hAnsi="仿宋" w:cs="仿宋"/>
          <w:szCs w:val="28"/>
        </w:rPr>
      </w:pPr>
      <w:r>
        <w:rPr>
          <w:rFonts w:hint="eastAsia" w:ascii="仿宋" w:hAnsi="仿宋" w:cs="仿宋"/>
          <w:szCs w:val="28"/>
        </w:rPr>
        <w:t>呈贡中心粮库政府和社会资本合作项目（以下简称“本项目”或“中心粮库”）。</w:t>
      </w:r>
    </w:p>
    <w:p>
      <w:pPr>
        <w:pStyle w:val="3"/>
        <w:spacing w:before="200" w:after="200" w:line="560" w:lineRule="exact"/>
        <w:ind w:firstLine="562"/>
        <w:jc w:val="left"/>
        <w:rPr>
          <w:rFonts w:ascii="Times New Roman" w:hAnsi="Times New Roman"/>
          <w:szCs w:val="28"/>
        </w:rPr>
      </w:pPr>
      <w:bookmarkStart w:id="21" w:name="_Toc468088588"/>
      <w:r>
        <w:rPr>
          <w:rFonts w:ascii="Times New Roman" w:hAnsi="Times New Roman"/>
          <w:szCs w:val="28"/>
        </w:rPr>
        <w:t>1.2 项目类型</w:t>
      </w:r>
      <w:bookmarkEnd w:id="21"/>
    </w:p>
    <w:p>
      <w:pPr>
        <w:ind w:firstLine="560"/>
      </w:pPr>
      <w:r>
        <w:t>本项目为新建项目，属于基础设施投资领域。</w:t>
      </w:r>
    </w:p>
    <w:p>
      <w:pPr>
        <w:pStyle w:val="3"/>
        <w:spacing w:before="200" w:after="200" w:line="560" w:lineRule="exact"/>
        <w:ind w:firstLine="562"/>
        <w:jc w:val="left"/>
        <w:rPr>
          <w:rFonts w:ascii="Times New Roman" w:hAnsi="Times New Roman"/>
          <w:szCs w:val="28"/>
        </w:rPr>
      </w:pPr>
      <w:bookmarkStart w:id="22" w:name="_Toc468088589"/>
      <w:r>
        <w:rPr>
          <w:rFonts w:ascii="Times New Roman" w:hAnsi="Times New Roman"/>
          <w:szCs w:val="28"/>
        </w:rPr>
        <w:t>1.3 建设地点</w:t>
      </w:r>
      <w:bookmarkEnd w:id="22"/>
    </w:p>
    <w:p>
      <w:pPr>
        <w:ind w:firstLine="560"/>
      </w:pPr>
      <w:r>
        <w:rPr>
          <w:rFonts w:ascii="Times New Roman" w:hAnsi="Times New Roman"/>
          <w:szCs w:val="28"/>
        </w:rPr>
        <w:t>本项目位于云南省昆明市呈贡区雨花东南片区。</w:t>
      </w:r>
    </w:p>
    <w:p>
      <w:pPr>
        <w:pStyle w:val="3"/>
        <w:spacing w:before="200" w:after="200" w:line="560" w:lineRule="exact"/>
        <w:ind w:firstLine="562"/>
        <w:jc w:val="left"/>
        <w:rPr>
          <w:rFonts w:ascii="Times New Roman" w:hAnsi="Times New Roman"/>
          <w:szCs w:val="28"/>
        </w:rPr>
      </w:pPr>
      <w:bookmarkStart w:id="23" w:name="_Toc468088590"/>
      <w:r>
        <w:rPr>
          <w:rFonts w:ascii="Times New Roman" w:hAnsi="Times New Roman"/>
          <w:szCs w:val="28"/>
        </w:rPr>
        <w:t>1.4 实施背景</w:t>
      </w:r>
      <w:bookmarkEnd w:id="23"/>
    </w:p>
    <w:p>
      <w:pPr>
        <w:ind w:firstLine="560"/>
      </w:pPr>
      <w:r>
        <w:t>本项目是昆明市“十二五”规划确立的重要项目，通过新建中心粮库，将构建集粮油储备、粮食应急加工、军粮供应等现代物流功能于一体的区域性粮食物流中心，形成呈贡区及周边地区的安全、高效、集约的粮食现代物流体系。</w:t>
      </w:r>
    </w:p>
    <w:p>
      <w:pPr>
        <w:ind w:firstLine="560"/>
      </w:pPr>
      <w:r>
        <w:t>项目的建设首先能够有效地改善粮食的储藏环境，保证了在储粮食的储存品质，降低粮食损耗，实现粮食质和量的安全储藏；并在工艺设计上实现粮食进出合理吞吐，项目建成后，将改变我区仓储设施陈旧、保粮技术落后的现状，实现科学保粮，安全储粮。</w:t>
      </w:r>
    </w:p>
    <w:p>
      <w:pPr>
        <w:ind w:firstLine="560"/>
      </w:pPr>
      <w:r>
        <w:t>其次，大米加工厂的建设，促进当地粮油产品深加工，使粮食加工转化率达60%以上，项目建成后，能保证当地市场粮价的基本稳定，消除地区间的不平衡，确保粮食安全，为社会稳定提供基本的物质保证。</w:t>
      </w:r>
    </w:p>
    <w:p>
      <w:pPr>
        <w:ind w:firstLine="560"/>
      </w:pPr>
      <w:r>
        <w:t>第三，军粮中心的建设，进一步提升军粮综合保障和伴随保障的能力水平，为驻军和武警部队守边维稳处突等提供数量充足、质量优良、安全可靠的军粮保障。</w:t>
      </w:r>
    </w:p>
    <w:p>
      <w:pPr>
        <w:ind w:firstLine="560"/>
      </w:pPr>
      <w:r>
        <w:t>项目全部配套工程将采用现代先进的科学技术，建成储粮仓容量131392吨的储备库。呈贡中心粮库建成后，将成为集仓储、军粮供应、应急加工为一体的现代化粮库。能更好地保障全区人民对粮食的需求，为我区人民安居乐业，经济社会持续发展发挥更大作用。</w:t>
      </w:r>
    </w:p>
    <w:p>
      <w:pPr>
        <w:pStyle w:val="3"/>
        <w:spacing w:before="200" w:after="200" w:line="560" w:lineRule="exact"/>
        <w:ind w:firstLine="562"/>
        <w:jc w:val="left"/>
        <w:rPr>
          <w:rFonts w:ascii="Times New Roman" w:hAnsi="Times New Roman"/>
          <w:szCs w:val="28"/>
        </w:rPr>
      </w:pPr>
      <w:bookmarkStart w:id="24" w:name="_Toc468088591"/>
      <w:bookmarkStart w:id="25" w:name="_Toc24647"/>
      <w:r>
        <w:rPr>
          <w:rFonts w:ascii="Times New Roman" w:hAnsi="Times New Roman"/>
          <w:szCs w:val="28"/>
        </w:rPr>
        <w:t>1.5 项目示范推广价值</w:t>
      </w:r>
      <w:bookmarkEnd w:id="24"/>
      <w:bookmarkEnd w:id="25"/>
    </w:p>
    <w:p>
      <w:pPr>
        <w:ind w:firstLine="560"/>
      </w:pPr>
      <w:r>
        <w:t>《国家粮食安全中长期规划纲要（2008-2020年）》中明确提出</w:t>
      </w:r>
      <w:r>
        <w:rPr>
          <w:rFonts w:eastAsia="Times New Roman"/>
        </w:rPr>
        <w:t>“保持合理粮食储备水平”、“建立健全‘四散化’粮食现代储运体系”是我国粮食安全规划中的两大目标；明确指出“完善粮食流通体系”是保障粮食安全的主要任务之一。《全国粮食市场体系建设“十二五”规划》积极指导和督促地方粮食储备充实到位，增强省级政府调控粮食市场的能力。</w:t>
      </w:r>
    </w:p>
    <w:p>
      <w:pPr>
        <w:ind w:firstLine="560"/>
      </w:pPr>
      <w:r>
        <w:t>本项目作为呈贡区首个PPP项目，将成为整个呈贡区，乃至昆明其他区县关注的焦点，作为惠民生的粮食储备项目，更是实现巩固、延伸和保障国家粮食安全体系，进一步深化粮食流通体系改革，适应国家相关政策的需要，是推进、加速地方经济发展强有力的保障。本项目具有较大的借鉴意义和示范价值。</w:t>
      </w:r>
    </w:p>
    <w:p>
      <w:pPr>
        <w:pStyle w:val="3"/>
        <w:spacing w:before="200" w:after="200" w:line="560" w:lineRule="exact"/>
        <w:ind w:firstLine="562"/>
        <w:jc w:val="left"/>
        <w:rPr>
          <w:rFonts w:ascii="Times New Roman" w:hAnsi="Times New Roman"/>
          <w:szCs w:val="28"/>
        </w:rPr>
      </w:pPr>
      <w:bookmarkStart w:id="26" w:name="_Toc196"/>
      <w:bookmarkStart w:id="27" w:name="_Toc468088592"/>
      <w:r>
        <w:rPr>
          <w:rFonts w:ascii="Times New Roman" w:hAnsi="Times New Roman"/>
          <w:szCs w:val="28"/>
        </w:rPr>
        <w:t>1.6 建设内容</w:t>
      </w:r>
      <w:bookmarkEnd w:id="26"/>
      <w:bookmarkEnd w:id="27"/>
    </w:p>
    <w:p>
      <w:pPr>
        <w:ind w:firstLine="560"/>
      </w:pPr>
      <w:r>
        <w:rPr>
          <w:rFonts w:hint="eastAsia"/>
        </w:rPr>
        <w:t>（1）</w:t>
      </w:r>
      <w:r>
        <w:t>粮油仓储及加工设施</w:t>
      </w:r>
    </w:p>
    <w:p>
      <w:pPr>
        <w:ind w:firstLine="560"/>
      </w:pPr>
      <w:r>
        <w:t>平房仓6栋，1#-6#仓建筑面积为1495平方米（60米</w:t>
      </w:r>
      <w:r>
        <w:rPr>
          <w:rFonts w:eastAsia="Times New Roman"/>
        </w:rPr>
        <w:t>×</w:t>
      </w:r>
      <w:r>
        <w:t>24米），6栋共8970平方米，单仓仓容7182吨，合计仓容43092吨，堆粮高度按7米计，容重按小麦计；</w:t>
      </w:r>
    </w:p>
    <w:p>
      <w:pPr>
        <w:ind w:firstLine="560"/>
      </w:pPr>
      <w:r>
        <w:t>军供粮仓库及7#仓建筑面积1495平方米（成品粮仓24米</w:t>
      </w:r>
      <w:r>
        <w:rPr>
          <w:rFonts w:eastAsia="Times New Roman"/>
        </w:rPr>
        <w:t>×</w:t>
      </w:r>
      <w:r>
        <w:t>24米，散装仓36米</w:t>
      </w:r>
      <w:r>
        <w:rPr>
          <w:rFonts w:eastAsia="Times New Roman"/>
        </w:rPr>
        <w:t>×</w:t>
      </w:r>
      <w:r>
        <w:t>24米，堆粮高度按7米计，容重按小麦计），仓容5300吨（成品粮1000吨，散装4300吨）；</w:t>
      </w:r>
    </w:p>
    <w:p>
      <w:pPr>
        <w:ind w:firstLine="560"/>
      </w:pPr>
      <w:r>
        <w:t>成品粮低温库一个，建筑面积为1495平方米，仓容3000吨；</w:t>
      </w:r>
    </w:p>
    <w:p>
      <w:pPr>
        <w:ind w:firstLine="560"/>
      </w:pPr>
      <w:r>
        <w:t>浅圆仓10个，建筑面积为5107平方米，单仓仓容8000吨，总仓容80000吨。</w:t>
      </w:r>
    </w:p>
    <w:p>
      <w:pPr>
        <w:ind w:firstLine="560"/>
      </w:pPr>
      <w:r>
        <w:t>仓容量共计：131392吨，其中散粮127392吨，成品粮4000吨。</w:t>
      </w:r>
    </w:p>
    <w:p>
      <w:pPr>
        <w:ind w:firstLine="560"/>
      </w:pPr>
      <w:r>
        <w:t>储油罐6个，单个容量500吨，占地面积为623平方米，总容量：3000吨；</w:t>
      </w:r>
    </w:p>
    <w:p>
      <w:pPr>
        <w:ind w:firstLine="560"/>
      </w:pPr>
      <w:r>
        <w:t>应急加工车间一个（日产100吨精米），建筑面积为2541平方米；</w:t>
      </w:r>
    </w:p>
    <w:p>
      <w:pPr>
        <w:ind w:firstLine="560"/>
      </w:pPr>
      <w:r>
        <w:t>工作塔和卸粮罩棚建筑面积为1700平方米。</w:t>
      </w:r>
    </w:p>
    <w:p>
      <w:pPr>
        <w:ind w:firstLine="560"/>
      </w:pPr>
      <w:r>
        <w:rPr>
          <w:rFonts w:hint="eastAsia"/>
        </w:rPr>
        <w:t>（2）</w:t>
      </w:r>
      <w:r>
        <w:t>主要辅助设施</w:t>
      </w:r>
    </w:p>
    <w:p>
      <w:pPr>
        <w:ind w:firstLine="560"/>
      </w:pPr>
      <w:r>
        <w:t>粮油配送仓库建筑面积9402平方米（1#粮油配送仓库建筑面积3495平方米和2#粮油配送仓库建筑面积5907平方米）；</w:t>
      </w:r>
    </w:p>
    <w:p>
      <w:pPr>
        <w:ind w:firstLine="560"/>
      </w:pPr>
      <w:r>
        <w:t>粮油质检楼建筑面积1291.37平方米；</w:t>
      </w:r>
    </w:p>
    <w:p>
      <w:pPr>
        <w:ind w:firstLine="560"/>
      </w:pPr>
      <w:r>
        <w:t>机修器材库建筑面积1159平方米。</w:t>
      </w:r>
    </w:p>
    <w:p>
      <w:pPr>
        <w:pStyle w:val="3"/>
        <w:ind w:firstLine="562"/>
        <w:rPr>
          <w:rFonts w:ascii="Times New Roman" w:hAnsi="Times New Roman"/>
          <w:szCs w:val="28"/>
        </w:rPr>
      </w:pPr>
      <w:bookmarkStart w:id="28" w:name="_Toc19440"/>
      <w:bookmarkStart w:id="29" w:name="_Toc468088593"/>
      <w:r>
        <w:rPr>
          <w:rFonts w:ascii="Times New Roman" w:hAnsi="Times New Roman"/>
          <w:szCs w:val="28"/>
        </w:rPr>
        <w:t>1.7 技术指标</w:t>
      </w:r>
      <w:bookmarkEnd w:id="28"/>
      <w:bookmarkEnd w:id="29"/>
    </w:p>
    <w:p>
      <w:pPr>
        <w:spacing w:line="360" w:lineRule="auto"/>
        <w:ind w:firstLine="560"/>
      </w:pPr>
      <w:r>
        <w:rPr>
          <w:rFonts w:hint="eastAsia"/>
        </w:rPr>
        <w:t>（1）</w:t>
      </w:r>
      <w:r>
        <w:t>风荷载</w:t>
      </w:r>
    </w:p>
    <w:p>
      <w:pPr>
        <w:spacing w:line="360" w:lineRule="auto"/>
        <w:ind w:firstLine="560"/>
      </w:pPr>
      <w:r>
        <w:t>根据国家标准《建筑结构荷载规范》，当地50年一遇基本风压值0.30 kN/㎡;</w:t>
      </w:r>
    </w:p>
    <w:p>
      <w:pPr>
        <w:adjustRightInd w:val="0"/>
        <w:snapToGrid w:val="0"/>
        <w:spacing w:line="520" w:lineRule="exact"/>
        <w:ind w:firstLine="560"/>
        <w:rPr>
          <w:rFonts w:ascii="宋体"/>
          <w:color w:val="000000"/>
          <w:szCs w:val="28"/>
        </w:rPr>
      </w:pPr>
      <w:r>
        <w:rPr>
          <w:rFonts w:hint="eastAsia" w:ascii="宋体"/>
          <w:color w:val="000000"/>
          <w:szCs w:val="28"/>
        </w:rPr>
        <w:t>（2）仓库物料重力密度</w:t>
      </w:r>
    </w:p>
    <w:p>
      <w:pPr>
        <w:adjustRightInd w:val="0"/>
        <w:snapToGrid w:val="0"/>
        <w:spacing w:line="520" w:lineRule="exact"/>
        <w:ind w:firstLine="560"/>
        <w:rPr>
          <w:rFonts w:ascii="宋体"/>
          <w:color w:val="000000"/>
          <w:szCs w:val="28"/>
        </w:rPr>
      </w:pPr>
      <w:r>
        <w:rPr>
          <w:rFonts w:hint="eastAsia" w:ascii="宋体"/>
          <w:color w:val="000000"/>
          <w:szCs w:val="28"/>
        </w:rPr>
        <w:t>根据国家粮食仓库规范，仓内物料重力密度设计指标如下：</w:t>
      </w:r>
    </w:p>
    <w:p>
      <w:pPr>
        <w:adjustRightInd w:val="0"/>
        <w:snapToGrid w:val="0"/>
        <w:spacing w:line="520" w:lineRule="exact"/>
        <w:ind w:firstLine="560"/>
        <w:rPr>
          <w:rFonts w:ascii="宋体"/>
          <w:color w:val="000000"/>
          <w:szCs w:val="28"/>
        </w:rPr>
      </w:pPr>
      <w:r>
        <w:rPr>
          <w:rFonts w:hint="eastAsia" w:ascii="宋体"/>
          <w:color w:val="000000"/>
          <w:szCs w:val="28"/>
        </w:rPr>
        <w:t>小麦: 8.00 kN/m</w:t>
      </w:r>
      <w:r>
        <w:rPr>
          <w:rFonts w:ascii="宋体"/>
          <w:color w:val="000000"/>
          <w:szCs w:val="28"/>
          <w:vertAlign w:val="superscript"/>
        </w:rPr>
        <w:t>3</w:t>
      </w:r>
    </w:p>
    <w:p>
      <w:pPr>
        <w:adjustRightInd w:val="0"/>
        <w:snapToGrid w:val="0"/>
        <w:spacing w:line="520" w:lineRule="exact"/>
        <w:ind w:firstLine="560"/>
        <w:rPr>
          <w:rFonts w:ascii="宋体"/>
          <w:color w:val="000000"/>
          <w:szCs w:val="28"/>
        </w:rPr>
      </w:pPr>
      <w:r>
        <w:rPr>
          <w:rFonts w:hint="eastAsia" w:ascii="宋体"/>
          <w:color w:val="000000"/>
          <w:szCs w:val="28"/>
        </w:rPr>
        <w:t>大豆: 7.50 kN/m</w:t>
      </w:r>
      <w:r>
        <w:rPr>
          <w:rFonts w:ascii="宋体"/>
          <w:color w:val="000000"/>
          <w:szCs w:val="28"/>
          <w:vertAlign w:val="superscript"/>
        </w:rPr>
        <w:t>3</w:t>
      </w:r>
    </w:p>
    <w:p>
      <w:pPr>
        <w:adjustRightInd w:val="0"/>
        <w:snapToGrid w:val="0"/>
        <w:spacing w:line="520" w:lineRule="exact"/>
        <w:ind w:firstLine="560"/>
        <w:rPr>
          <w:rFonts w:ascii="宋体"/>
          <w:color w:val="000000"/>
          <w:szCs w:val="28"/>
          <w:vertAlign w:val="superscript"/>
        </w:rPr>
      </w:pPr>
      <w:r>
        <w:rPr>
          <w:rFonts w:hint="eastAsia" w:ascii="宋体"/>
          <w:color w:val="000000"/>
          <w:szCs w:val="28"/>
        </w:rPr>
        <w:t>玉米: 7.80 kN/m</w:t>
      </w:r>
      <w:r>
        <w:rPr>
          <w:rFonts w:ascii="宋体"/>
          <w:color w:val="000000"/>
          <w:szCs w:val="28"/>
          <w:vertAlign w:val="superscript"/>
        </w:rPr>
        <w:t>3</w:t>
      </w:r>
    </w:p>
    <w:p>
      <w:pPr>
        <w:adjustRightInd w:val="0"/>
        <w:snapToGrid w:val="0"/>
        <w:spacing w:line="520" w:lineRule="exact"/>
        <w:ind w:firstLine="560"/>
        <w:rPr>
          <w:rFonts w:ascii="宋体"/>
          <w:color w:val="000000"/>
          <w:szCs w:val="28"/>
        </w:rPr>
      </w:pPr>
      <w:r>
        <w:rPr>
          <w:rFonts w:hint="eastAsia" w:ascii="宋体"/>
          <w:color w:val="000000"/>
          <w:szCs w:val="28"/>
        </w:rPr>
        <w:t>（3）道路</w:t>
      </w:r>
    </w:p>
    <w:p>
      <w:pPr>
        <w:spacing w:line="360" w:lineRule="auto"/>
        <w:ind w:firstLine="560"/>
      </w:pPr>
      <w:r>
        <w:t>按现行场区道路规范及库区生产运输要求，道路按考虑通过Q－50吨级设计。</w:t>
      </w:r>
    </w:p>
    <w:p>
      <w:pPr>
        <w:spacing w:line="360" w:lineRule="auto"/>
        <w:ind w:firstLine="560"/>
      </w:pPr>
      <w:r>
        <w:rPr>
          <w:rFonts w:hint="eastAsia"/>
        </w:rPr>
        <w:t>（4）</w:t>
      </w:r>
      <w:r>
        <w:t>抗震设防烈度及地震效应</w:t>
      </w:r>
    </w:p>
    <w:p>
      <w:pPr>
        <w:spacing w:line="360" w:lineRule="auto"/>
        <w:ind w:firstLine="560"/>
      </w:pPr>
      <w:r>
        <w:t xml:space="preserve"> 本建筑基本抗震设防烈度为8度，0.02g，第二组。抗震等级框架为三级，场地土类别为II类地。</w:t>
      </w:r>
    </w:p>
    <w:p>
      <w:pPr>
        <w:ind w:firstLine="560"/>
      </w:pPr>
      <w:r>
        <w:rPr>
          <w:rFonts w:hint="eastAsia"/>
        </w:rPr>
        <w:t>（5）</w:t>
      </w:r>
      <w:r>
        <w:t>结构材料</w:t>
      </w:r>
    </w:p>
    <w:p>
      <w:pPr>
        <w:adjustRightInd w:val="0"/>
        <w:snapToGrid w:val="0"/>
        <w:spacing w:line="520" w:lineRule="exact"/>
        <w:ind w:firstLine="560"/>
        <w:rPr>
          <w:rFonts w:ascii="宋体"/>
          <w:color w:val="000000"/>
          <w:szCs w:val="28"/>
        </w:rPr>
      </w:pPr>
      <w:r>
        <w:rPr>
          <w:rFonts w:hint="eastAsia" w:ascii="宋体"/>
          <w:color w:val="000000"/>
          <w:szCs w:val="28"/>
        </w:rPr>
        <w:t>本次拟建工程结构主要是平房仓、办公楼及其它生产附属项目。</w:t>
      </w:r>
    </w:p>
    <w:p>
      <w:pPr>
        <w:spacing w:line="360" w:lineRule="auto"/>
        <w:ind w:firstLine="560"/>
      </w:pPr>
      <w:r>
        <w:rPr>
          <w:rFonts w:hint="eastAsia"/>
        </w:rPr>
        <w:t xml:space="preserve">① </w:t>
      </w:r>
      <w:r>
        <w:t>混凝土强度等级：</w:t>
      </w:r>
      <w:r>
        <w:rPr>
          <w:rFonts w:eastAsia="Times New Roman"/>
        </w:rPr>
        <w:t>≥</w:t>
      </w:r>
      <w:r>
        <w:t>C30。</w:t>
      </w:r>
    </w:p>
    <w:p>
      <w:pPr>
        <w:spacing w:line="360" w:lineRule="auto"/>
        <w:ind w:firstLine="560"/>
      </w:pPr>
      <w:r>
        <w:rPr>
          <w:rFonts w:hint="eastAsia"/>
        </w:rPr>
        <w:t xml:space="preserve">② </w:t>
      </w:r>
      <w:r>
        <w:t>钢筋：HPB300(φ)，fy=270MPa； HRB400(</w:t>
      </w:r>
      <w:r>
        <w:rPr>
          <w:szCs w:val="28"/>
        </w:rPr>
        <w:sym w:font="Symbol" w:char="F03F"/>
      </w:r>
      <w:r>
        <w:t>), fy=360MPa。</w:t>
      </w:r>
    </w:p>
    <w:p>
      <w:pPr>
        <w:spacing w:line="360" w:lineRule="auto"/>
        <w:ind w:firstLine="560"/>
      </w:pPr>
      <w:r>
        <w:rPr>
          <w:rFonts w:hint="eastAsia"/>
        </w:rPr>
        <w:t xml:space="preserve">③ </w:t>
      </w:r>
      <w:r>
        <w:t>钢材：Q235B、Q345B。</w:t>
      </w:r>
    </w:p>
    <w:p>
      <w:pPr>
        <w:spacing w:line="520" w:lineRule="exact"/>
        <w:ind w:firstLine="560"/>
        <w:rPr>
          <w:rFonts w:ascii="宋体"/>
          <w:color w:val="000000"/>
          <w:szCs w:val="28"/>
        </w:rPr>
      </w:pPr>
      <w:r>
        <w:rPr>
          <w:rFonts w:hint="eastAsia"/>
        </w:rPr>
        <w:t xml:space="preserve">④ </w:t>
      </w:r>
      <w:r>
        <w:t>砌体：±0.000以下采用MU15烧结普通砖（非粘土类）， M10水泥砂浆；±0.000以上采用非粘性的页岩砖B06级，强度级别A5.0，M7.5专用砂浆</w:t>
      </w:r>
      <w:r>
        <w:rPr>
          <w:rFonts w:hint="eastAsia" w:ascii="宋体"/>
          <w:color w:val="000000"/>
          <w:szCs w:val="28"/>
        </w:rPr>
        <w:t>。</w:t>
      </w:r>
    </w:p>
    <w:p>
      <w:pPr>
        <w:ind w:firstLine="560"/>
      </w:pPr>
      <w:r>
        <w:rPr>
          <w:rFonts w:hint="eastAsia"/>
        </w:rPr>
        <w:t>（6）</w:t>
      </w:r>
      <w:r>
        <w:t>结构特性</w:t>
      </w:r>
    </w:p>
    <w:p>
      <w:pPr>
        <w:ind w:firstLine="562"/>
        <w:jc w:val="center"/>
        <w:rPr>
          <w:rFonts w:ascii="宋体" w:hAnsi="宋体"/>
          <w:b/>
          <w:color w:val="000000"/>
          <w:szCs w:val="28"/>
        </w:rPr>
      </w:pPr>
      <w:r>
        <w:rPr>
          <w:rFonts w:hint="eastAsia" w:ascii="宋体" w:hAnsi="宋体"/>
          <w:b/>
          <w:color w:val="000000"/>
          <w:szCs w:val="28"/>
        </w:rPr>
        <w:t>主要建（构）筑物结构特性表</w:t>
      </w:r>
    </w:p>
    <w:tbl>
      <w:tblPr>
        <w:tblStyle w:val="22"/>
        <w:tblW w:w="90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63"/>
        <w:gridCol w:w="995"/>
        <w:gridCol w:w="995"/>
        <w:gridCol w:w="995"/>
        <w:gridCol w:w="1027"/>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exact"/>
        </w:trPr>
        <w:tc>
          <w:tcPr>
            <w:tcW w:w="720" w:type="dxa"/>
            <w:vAlign w:val="center"/>
          </w:tcPr>
          <w:p>
            <w:pPr>
              <w:pStyle w:val="88"/>
            </w:pPr>
            <w:r>
              <w:t>序号</w:t>
            </w:r>
          </w:p>
        </w:tc>
        <w:tc>
          <w:tcPr>
            <w:tcW w:w="2663" w:type="dxa"/>
            <w:vAlign w:val="center"/>
          </w:tcPr>
          <w:p>
            <w:pPr>
              <w:pStyle w:val="88"/>
            </w:pPr>
            <w:r>
              <w:t>名称</w:t>
            </w:r>
          </w:p>
        </w:tc>
        <w:tc>
          <w:tcPr>
            <w:tcW w:w="995" w:type="dxa"/>
            <w:vAlign w:val="center"/>
          </w:tcPr>
          <w:p>
            <w:pPr>
              <w:pStyle w:val="88"/>
            </w:pPr>
            <w:r>
              <w:t>结构安全等级</w:t>
            </w:r>
          </w:p>
        </w:tc>
        <w:tc>
          <w:tcPr>
            <w:tcW w:w="995" w:type="dxa"/>
            <w:vAlign w:val="center"/>
          </w:tcPr>
          <w:p>
            <w:pPr>
              <w:pStyle w:val="88"/>
            </w:pPr>
            <w:r>
              <w:t>设计使用</w:t>
            </w:r>
          </w:p>
          <w:p>
            <w:pPr>
              <w:pStyle w:val="88"/>
            </w:pPr>
            <w:r>
              <w:t>年限</w:t>
            </w:r>
          </w:p>
        </w:tc>
        <w:tc>
          <w:tcPr>
            <w:tcW w:w="995" w:type="dxa"/>
            <w:vAlign w:val="center"/>
          </w:tcPr>
          <w:p>
            <w:pPr>
              <w:pStyle w:val="88"/>
            </w:pPr>
            <w:r>
              <w:t>抗震设防</w:t>
            </w:r>
          </w:p>
          <w:p>
            <w:pPr>
              <w:pStyle w:val="88"/>
            </w:pPr>
            <w:r>
              <w:t>类别</w:t>
            </w:r>
          </w:p>
        </w:tc>
        <w:tc>
          <w:tcPr>
            <w:tcW w:w="1027" w:type="dxa"/>
            <w:vAlign w:val="center"/>
          </w:tcPr>
          <w:p>
            <w:pPr>
              <w:pStyle w:val="88"/>
            </w:pPr>
            <w:r>
              <w:t>结构选型</w:t>
            </w:r>
          </w:p>
        </w:tc>
        <w:tc>
          <w:tcPr>
            <w:tcW w:w="1618" w:type="dxa"/>
            <w:vAlign w:val="center"/>
          </w:tcPr>
          <w:p>
            <w:pPr>
              <w:pStyle w:val="88"/>
            </w:pPr>
            <w:r>
              <w:t>结构材料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exact"/>
        </w:trPr>
        <w:tc>
          <w:tcPr>
            <w:tcW w:w="720" w:type="dxa"/>
            <w:vAlign w:val="center"/>
          </w:tcPr>
          <w:p>
            <w:pPr>
              <w:pStyle w:val="88"/>
            </w:pPr>
            <w:r>
              <w:t>1</w:t>
            </w:r>
          </w:p>
        </w:tc>
        <w:tc>
          <w:tcPr>
            <w:tcW w:w="2663" w:type="dxa"/>
            <w:vAlign w:val="center"/>
          </w:tcPr>
          <w:p>
            <w:pPr>
              <w:pStyle w:val="88"/>
            </w:pPr>
            <w:r>
              <w:t>平房仓</w:t>
            </w:r>
          </w:p>
        </w:tc>
        <w:tc>
          <w:tcPr>
            <w:tcW w:w="995" w:type="dxa"/>
            <w:vAlign w:val="center"/>
          </w:tcPr>
          <w:p>
            <w:pPr>
              <w:pStyle w:val="88"/>
            </w:pPr>
            <w:r>
              <w:t>二</w:t>
            </w:r>
          </w:p>
        </w:tc>
        <w:tc>
          <w:tcPr>
            <w:tcW w:w="995" w:type="dxa"/>
            <w:vAlign w:val="center"/>
          </w:tcPr>
          <w:p>
            <w:pPr>
              <w:pStyle w:val="88"/>
            </w:pPr>
            <w:r>
              <w:t>50</w:t>
            </w:r>
          </w:p>
        </w:tc>
        <w:tc>
          <w:tcPr>
            <w:tcW w:w="995" w:type="dxa"/>
            <w:vAlign w:val="center"/>
          </w:tcPr>
          <w:p>
            <w:pPr>
              <w:pStyle w:val="88"/>
            </w:pPr>
            <w:r>
              <w:t>丙</w:t>
            </w:r>
          </w:p>
        </w:tc>
        <w:tc>
          <w:tcPr>
            <w:tcW w:w="1027" w:type="dxa"/>
            <w:vAlign w:val="center"/>
          </w:tcPr>
          <w:p>
            <w:pPr>
              <w:pStyle w:val="88"/>
            </w:pPr>
            <w:r>
              <w:t>门式刚架</w:t>
            </w:r>
          </w:p>
        </w:tc>
        <w:tc>
          <w:tcPr>
            <w:tcW w:w="1618" w:type="dxa"/>
            <w:vAlign w:val="center"/>
          </w:tcPr>
          <w:p>
            <w:pPr>
              <w:pStyle w:val="88"/>
            </w:pPr>
            <w:r>
              <w:t>钢筋混凝土及砌体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trPr>
        <w:tc>
          <w:tcPr>
            <w:tcW w:w="720" w:type="dxa"/>
            <w:vAlign w:val="center"/>
          </w:tcPr>
          <w:p>
            <w:pPr>
              <w:pStyle w:val="88"/>
            </w:pPr>
            <w:r>
              <w:t>2</w:t>
            </w:r>
          </w:p>
        </w:tc>
        <w:tc>
          <w:tcPr>
            <w:tcW w:w="2663" w:type="dxa"/>
            <w:vAlign w:val="center"/>
          </w:tcPr>
          <w:p>
            <w:pPr>
              <w:pStyle w:val="88"/>
            </w:pPr>
            <w:r>
              <w:t>粮油质检楼</w:t>
            </w:r>
          </w:p>
        </w:tc>
        <w:tc>
          <w:tcPr>
            <w:tcW w:w="995" w:type="dxa"/>
            <w:vAlign w:val="center"/>
          </w:tcPr>
          <w:p>
            <w:pPr>
              <w:pStyle w:val="88"/>
            </w:pPr>
            <w:r>
              <w:t>二</w:t>
            </w:r>
          </w:p>
        </w:tc>
        <w:tc>
          <w:tcPr>
            <w:tcW w:w="995" w:type="dxa"/>
            <w:vAlign w:val="center"/>
          </w:tcPr>
          <w:p>
            <w:pPr>
              <w:pStyle w:val="88"/>
            </w:pPr>
            <w:r>
              <w:t>50</w:t>
            </w:r>
          </w:p>
        </w:tc>
        <w:tc>
          <w:tcPr>
            <w:tcW w:w="995" w:type="dxa"/>
            <w:vAlign w:val="center"/>
          </w:tcPr>
          <w:p>
            <w:pPr>
              <w:pStyle w:val="88"/>
            </w:pPr>
            <w:r>
              <w:t>丙</w:t>
            </w:r>
          </w:p>
        </w:tc>
        <w:tc>
          <w:tcPr>
            <w:tcW w:w="1027" w:type="dxa"/>
            <w:vAlign w:val="center"/>
          </w:tcPr>
          <w:p>
            <w:pPr>
              <w:pStyle w:val="88"/>
            </w:pPr>
            <w:r>
              <w:t>轻钢</w:t>
            </w:r>
          </w:p>
        </w:tc>
        <w:tc>
          <w:tcPr>
            <w:tcW w:w="1618" w:type="dxa"/>
            <w:vAlign w:val="center"/>
          </w:tcPr>
          <w:p>
            <w:pPr>
              <w:pStyle w:val="88"/>
            </w:pPr>
            <w: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0" w:type="dxa"/>
            <w:vAlign w:val="center"/>
          </w:tcPr>
          <w:p>
            <w:pPr>
              <w:pStyle w:val="88"/>
            </w:pPr>
            <w:r>
              <w:t>3</w:t>
            </w:r>
          </w:p>
        </w:tc>
        <w:tc>
          <w:tcPr>
            <w:tcW w:w="2663" w:type="dxa"/>
            <w:vAlign w:val="center"/>
          </w:tcPr>
          <w:p>
            <w:pPr>
              <w:pStyle w:val="88"/>
            </w:pPr>
            <w:r>
              <w:t>综合辅助用房</w:t>
            </w:r>
          </w:p>
        </w:tc>
        <w:tc>
          <w:tcPr>
            <w:tcW w:w="995" w:type="dxa"/>
            <w:vAlign w:val="center"/>
          </w:tcPr>
          <w:p>
            <w:pPr>
              <w:pStyle w:val="88"/>
            </w:pPr>
            <w:r>
              <w:t>二</w:t>
            </w:r>
          </w:p>
        </w:tc>
        <w:tc>
          <w:tcPr>
            <w:tcW w:w="995" w:type="dxa"/>
            <w:vAlign w:val="center"/>
          </w:tcPr>
          <w:p>
            <w:pPr>
              <w:pStyle w:val="88"/>
            </w:pPr>
            <w:r>
              <w:t>50</w:t>
            </w:r>
          </w:p>
        </w:tc>
        <w:tc>
          <w:tcPr>
            <w:tcW w:w="995" w:type="dxa"/>
            <w:vAlign w:val="center"/>
          </w:tcPr>
          <w:p>
            <w:pPr>
              <w:pStyle w:val="88"/>
            </w:pPr>
            <w:r>
              <w:t>丙</w:t>
            </w:r>
          </w:p>
        </w:tc>
        <w:tc>
          <w:tcPr>
            <w:tcW w:w="1027" w:type="dxa"/>
            <w:vAlign w:val="center"/>
          </w:tcPr>
          <w:p>
            <w:pPr>
              <w:pStyle w:val="88"/>
            </w:pPr>
            <w:r>
              <w:t>轻钢</w:t>
            </w:r>
          </w:p>
        </w:tc>
        <w:tc>
          <w:tcPr>
            <w:tcW w:w="1618" w:type="dxa"/>
            <w:vAlign w:val="center"/>
          </w:tcPr>
          <w:p>
            <w:pPr>
              <w:pStyle w:val="88"/>
            </w:pPr>
            <w:r>
              <w:t>Q235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exact"/>
        </w:trPr>
        <w:tc>
          <w:tcPr>
            <w:tcW w:w="720" w:type="dxa"/>
            <w:vAlign w:val="center"/>
          </w:tcPr>
          <w:p>
            <w:pPr>
              <w:pStyle w:val="88"/>
            </w:pPr>
            <w:r>
              <w:t>4</w:t>
            </w:r>
          </w:p>
        </w:tc>
        <w:tc>
          <w:tcPr>
            <w:tcW w:w="2663" w:type="dxa"/>
            <w:vAlign w:val="center"/>
          </w:tcPr>
          <w:p>
            <w:pPr>
              <w:pStyle w:val="88"/>
            </w:pPr>
            <w:r>
              <w:t>变配电间、水泵房、门卫房、机修器材库、药品库</w:t>
            </w:r>
          </w:p>
        </w:tc>
        <w:tc>
          <w:tcPr>
            <w:tcW w:w="995" w:type="dxa"/>
            <w:vAlign w:val="center"/>
          </w:tcPr>
          <w:p>
            <w:pPr>
              <w:pStyle w:val="88"/>
            </w:pPr>
            <w:r>
              <w:t>二</w:t>
            </w:r>
          </w:p>
        </w:tc>
        <w:tc>
          <w:tcPr>
            <w:tcW w:w="995" w:type="dxa"/>
            <w:vAlign w:val="center"/>
          </w:tcPr>
          <w:p>
            <w:pPr>
              <w:pStyle w:val="88"/>
            </w:pPr>
            <w:r>
              <w:t>50</w:t>
            </w:r>
          </w:p>
        </w:tc>
        <w:tc>
          <w:tcPr>
            <w:tcW w:w="995" w:type="dxa"/>
            <w:vAlign w:val="center"/>
          </w:tcPr>
          <w:p>
            <w:pPr>
              <w:pStyle w:val="88"/>
            </w:pPr>
            <w:r>
              <w:t>丙</w:t>
            </w:r>
          </w:p>
        </w:tc>
        <w:tc>
          <w:tcPr>
            <w:tcW w:w="1027" w:type="dxa"/>
            <w:vAlign w:val="center"/>
          </w:tcPr>
          <w:p>
            <w:pPr>
              <w:pStyle w:val="88"/>
            </w:pPr>
            <w:r>
              <w:t>砖混</w:t>
            </w:r>
          </w:p>
        </w:tc>
        <w:tc>
          <w:tcPr>
            <w:tcW w:w="1618" w:type="dxa"/>
            <w:vAlign w:val="center"/>
          </w:tcPr>
          <w:p>
            <w:pPr>
              <w:pStyle w:val="88"/>
            </w:pPr>
            <w:r>
              <w:t>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exact"/>
        </w:trPr>
        <w:tc>
          <w:tcPr>
            <w:tcW w:w="720" w:type="dxa"/>
            <w:vAlign w:val="center"/>
          </w:tcPr>
          <w:p>
            <w:pPr>
              <w:pStyle w:val="88"/>
            </w:pPr>
            <w:r>
              <w:t>5</w:t>
            </w:r>
          </w:p>
        </w:tc>
        <w:tc>
          <w:tcPr>
            <w:tcW w:w="2663" w:type="dxa"/>
            <w:vAlign w:val="center"/>
          </w:tcPr>
          <w:p>
            <w:pPr>
              <w:pStyle w:val="88"/>
            </w:pPr>
            <w:r>
              <w:t>浅圆仓</w:t>
            </w:r>
          </w:p>
        </w:tc>
        <w:tc>
          <w:tcPr>
            <w:tcW w:w="995" w:type="dxa"/>
            <w:vAlign w:val="center"/>
          </w:tcPr>
          <w:p>
            <w:pPr>
              <w:pStyle w:val="88"/>
            </w:pPr>
            <w:r>
              <w:t>二</w:t>
            </w:r>
          </w:p>
        </w:tc>
        <w:tc>
          <w:tcPr>
            <w:tcW w:w="995" w:type="dxa"/>
            <w:vAlign w:val="center"/>
          </w:tcPr>
          <w:p>
            <w:pPr>
              <w:pStyle w:val="88"/>
            </w:pPr>
            <w:r>
              <w:t>50</w:t>
            </w:r>
          </w:p>
        </w:tc>
        <w:tc>
          <w:tcPr>
            <w:tcW w:w="995" w:type="dxa"/>
            <w:vAlign w:val="center"/>
          </w:tcPr>
          <w:p>
            <w:pPr>
              <w:pStyle w:val="88"/>
            </w:pPr>
            <w:r>
              <w:t>丙</w:t>
            </w:r>
          </w:p>
        </w:tc>
        <w:tc>
          <w:tcPr>
            <w:tcW w:w="1027" w:type="dxa"/>
            <w:vAlign w:val="center"/>
          </w:tcPr>
          <w:p>
            <w:pPr>
              <w:pStyle w:val="88"/>
            </w:pPr>
            <w:r>
              <w:t>框架</w:t>
            </w:r>
          </w:p>
        </w:tc>
        <w:tc>
          <w:tcPr>
            <w:tcW w:w="1618" w:type="dxa"/>
            <w:vAlign w:val="center"/>
          </w:tcPr>
          <w:p>
            <w:pPr>
              <w:pStyle w:val="88"/>
            </w:pPr>
            <w:r>
              <w:t>钢筋混凝土框架</w:t>
            </w:r>
          </w:p>
        </w:tc>
      </w:tr>
    </w:tbl>
    <w:p>
      <w:pPr>
        <w:spacing w:line="520" w:lineRule="exact"/>
        <w:ind w:firstLine="560"/>
        <w:rPr>
          <w:rFonts w:ascii="宋体"/>
          <w:color w:val="000000"/>
          <w:szCs w:val="28"/>
        </w:rPr>
      </w:pPr>
      <w:r>
        <w:rPr>
          <w:rFonts w:hint="eastAsia" w:ascii="宋体"/>
          <w:color w:val="000000"/>
          <w:szCs w:val="28"/>
        </w:rPr>
        <w:t>按照国家规范要求，本工程设计按相同抗震烈度设防，抗震设防烈度均按8度。</w:t>
      </w:r>
    </w:p>
    <w:p>
      <w:pPr>
        <w:ind w:firstLine="560"/>
      </w:pPr>
      <w:r>
        <w:rPr>
          <w:rFonts w:hint="eastAsia"/>
        </w:rPr>
        <w:t>（7）</w:t>
      </w:r>
      <w:r>
        <w:t>新结构、新技术的应用</w:t>
      </w:r>
    </w:p>
    <w:p>
      <w:pPr>
        <w:spacing w:line="520" w:lineRule="exact"/>
        <w:ind w:firstLine="560"/>
        <w:rPr>
          <w:rFonts w:ascii="宋体"/>
          <w:color w:val="000000"/>
          <w:szCs w:val="28"/>
        </w:rPr>
      </w:pPr>
      <w:r>
        <w:rPr>
          <w:rFonts w:hint="eastAsia" w:ascii="宋体"/>
          <w:color w:val="000000"/>
          <w:szCs w:val="28"/>
        </w:rPr>
        <w:t>拟采用的平房仓为新型的高大平房仓，结构合理，应用当前先进的储粮保粮技术。</w:t>
      </w:r>
    </w:p>
    <w:p>
      <w:pPr>
        <w:ind w:firstLine="560"/>
      </w:pPr>
      <w:r>
        <w:rPr>
          <w:rFonts w:hint="eastAsia"/>
        </w:rPr>
        <w:t>（8）</w:t>
      </w:r>
      <w:r>
        <w:t>仓房基础方案</w:t>
      </w:r>
    </w:p>
    <w:p>
      <w:pPr>
        <w:spacing w:line="520" w:lineRule="exact"/>
        <w:ind w:firstLine="560"/>
        <w:rPr>
          <w:rFonts w:ascii="宋体"/>
          <w:color w:val="000000"/>
          <w:szCs w:val="28"/>
        </w:rPr>
      </w:pPr>
      <w:r>
        <w:rPr>
          <w:rFonts w:hint="eastAsia" w:ascii="宋体"/>
          <w:color w:val="000000"/>
          <w:szCs w:val="28"/>
        </w:rPr>
        <w:t>根据库区总体设计要求，以及场地地质情况，仓库主要布置在挖方区，基本以天然基础为主，个别地势变化较大处，可采用加深基础或人工挖孔桩处理。</w:t>
      </w:r>
    </w:p>
    <w:p>
      <w:pPr>
        <w:pStyle w:val="3"/>
        <w:ind w:firstLine="562"/>
        <w:rPr>
          <w:rFonts w:ascii="Times New Roman" w:hAnsi="Times New Roman"/>
          <w:szCs w:val="28"/>
        </w:rPr>
      </w:pPr>
      <w:bookmarkStart w:id="30" w:name="_Toc32441"/>
      <w:bookmarkStart w:id="31" w:name="_Toc468088594"/>
      <w:r>
        <w:rPr>
          <w:rFonts w:ascii="Times New Roman" w:hAnsi="Times New Roman"/>
          <w:szCs w:val="28"/>
        </w:rPr>
        <w:t>1.8 投资规模</w:t>
      </w:r>
      <w:bookmarkEnd w:id="30"/>
      <w:bookmarkEnd w:id="31"/>
    </w:p>
    <w:p>
      <w:pPr>
        <w:ind w:firstLine="560"/>
      </w:pPr>
      <w:r>
        <w:t>本项目实施方案测算的估算投资为</w:t>
      </w:r>
      <w:r>
        <w:rPr>
          <w:rFonts w:hint="eastAsia"/>
        </w:rPr>
        <w:t>27153.56</w:t>
      </w:r>
      <w:r>
        <w:t>万元（其中：建筑工程费用12724.04万元，设备安装、购置费1777.98万元，工程建设其他费用1677.13万元，预备费1294.33万元，规划用地费7778.40万元，铺底流动资金1528.25万元，建设期贷款利息</w:t>
      </w:r>
      <w:r>
        <w:rPr>
          <w:rFonts w:hint="eastAsia"/>
        </w:rPr>
        <w:t>373.43</w:t>
      </w:r>
      <w:r>
        <w:t>万元）。</w:t>
      </w:r>
    </w:p>
    <w:p>
      <w:pPr>
        <w:pStyle w:val="82"/>
        <w:ind w:firstLine="420"/>
      </w:pPr>
      <w:r>
        <w:t>估算投资明细表</w:t>
      </w:r>
    </w:p>
    <w:tbl>
      <w:tblPr>
        <w:tblStyle w:val="22"/>
        <w:tblW w:w="8364" w:type="dxa"/>
        <w:jc w:val="center"/>
        <w:tblInd w:w="0" w:type="dxa"/>
        <w:tblBorders>
          <w:top w:val="double" w:color="000000" w:sz="4" w:space="0"/>
          <w:left w:val="none" w:color="auto" w:sz="0" w:space="0"/>
          <w:bottom w:val="double" w:color="000000" w:sz="4"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
      <w:tblGrid>
        <w:gridCol w:w="4538"/>
        <w:gridCol w:w="1983"/>
        <w:gridCol w:w="1843"/>
      </w:tblGrid>
      <w:tr>
        <w:tblPrEx>
          <w:tblBorders>
            <w:top w:val="double" w:color="000000" w:sz="4" w:space="0"/>
            <w:left w:val="none" w:color="auto" w:sz="0" w:space="0"/>
            <w:bottom w:val="double" w:color="000000" w:sz="4"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cantSplit/>
          <w:trHeight w:val="283" w:hRule="atLeast"/>
          <w:tblHeader/>
          <w:jc w:val="center"/>
        </w:trPr>
        <w:tc>
          <w:tcPr>
            <w:tcW w:w="4538" w:type="dxa"/>
            <w:tcBorders>
              <w:top w:val="double" w:color="000000" w:sz="4" w:space="0"/>
            </w:tcBorders>
            <w:shd w:val="clear" w:color="auto" w:fill="EEECE1"/>
            <w:vAlign w:val="center"/>
          </w:tcPr>
          <w:p>
            <w:pPr>
              <w:pStyle w:val="88"/>
            </w:pPr>
            <w:r>
              <w:t>工程或费用名称</w:t>
            </w:r>
          </w:p>
        </w:tc>
        <w:tc>
          <w:tcPr>
            <w:tcW w:w="1983" w:type="dxa"/>
            <w:tcBorders>
              <w:top w:val="double" w:color="000000" w:sz="4" w:space="0"/>
            </w:tcBorders>
            <w:shd w:val="clear" w:color="auto" w:fill="EEECE1"/>
            <w:vAlign w:val="center"/>
          </w:tcPr>
          <w:p>
            <w:pPr>
              <w:pStyle w:val="88"/>
            </w:pPr>
            <w:r>
              <w:t>金额合计（万元）</w:t>
            </w:r>
          </w:p>
        </w:tc>
        <w:tc>
          <w:tcPr>
            <w:tcW w:w="1843" w:type="dxa"/>
            <w:tcBorders>
              <w:top w:val="double" w:color="000000" w:sz="4" w:space="0"/>
            </w:tcBorders>
            <w:shd w:val="clear" w:color="auto" w:fill="EEECE1"/>
            <w:vAlign w:val="center"/>
          </w:tcPr>
          <w:p>
            <w:pPr>
              <w:pStyle w:val="88"/>
            </w:pPr>
            <w:r>
              <w:t>费用比例％</w:t>
            </w:r>
          </w:p>
        </w:tc>
      </w:tr>
      <w:tr>
        <w:tblPrEx>
          <w:tblBorders>
            <w:top w:val="double" w:color="000000" w:sz="4" w:space="0"/>
            <w:left w:val="none" w:color="auto" w:sz="0" w:space="0"/>
            <w:bottom w:val="double" w:color="000000" w:sz="4"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cantSplit/>
          <w:trHeight w:val="283" w:hRule="atLeast"/>
          <w:jc w:val="center"/>
        </w:trPr>
        <w:tc>
          <w:tcPr>
            <w:tcW w:w="4538" w:type="dxa"/>
            <w:vAlign w:val="center"/>
          </w:tcPr>
          <w:p>
            <w:pPr>
              <w:pStyle w:val="88"/>
            </w:pPr>
            <w:r>
              <w:t>第一部分 建筑安装工程费</w:t>
            </w:r>
          </w:p>
        </w:tc>
        <w:tc>
          <w:tcPr>
            <w:tcW w:w="1983" w:type="dxa"/>
            <w:vAlign w:val="center"/>
          </w:tcPr>
          <w:p>
            <w:pPr>
              <w:pStyle w:val="88"/>
            </w:pPr>
            <w:r>
              <w:t>12724.04</w:t>
            </w:r>
          </w:p>
        </w:tc>
        <w:tc>
          <w:tcPr>
            <w:tcW w:w="1843" w:type="dxa"/>
            <w:vAlign w:val="center"/>
          </w:tcPr>
          <w:p>
            <w:pPr>
              <w:pStyle w:val="88"/>
            </w:pPr>
            <w:r>
              <w:rPr>
                <w:rFonts w:hint="eastAsia"/>
              </w:rPr>
              <w:t>46.86%</w:t>
            </w:r>
          </w:p>
        </w:tc>
      </w:tr>
      <w:tr>
        <w:tblPrEx>
          <w:tblBorders>
            <w:top w:val="double" w:color="000000" w:sz="4" w:space="0"/>
            <w:left w:val="none" w:color="auto" w:sz="0" w:space="0"/>
            <w:bottom w:val="double" w:color="000000" w:sz="4"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cantSplit/>
          <w:trHeight w:val="283" w:hRule="atLeast"/>
          <w:jc w:val="center"/>
        </w:trPr>
        <w:tc>
          <w:tcPr>
            <w:tcW w:w="4538" w:type="dxa"/>
            <w:vAlign w:val="center"/>
          </w:tcPr>
          <w:p>
            <w:pPr>
              <w:pStyle w:val="88"/>
            </w:pPr>
            <w:r>
              <w:t>第二部分 设备及工具、器具购置费</w:t>
            </w:r>
          </w:p>
        </w:tc>
        <w:tc>
          <w:tcPr>
            <w:tcW w:w="1983" w:type="dxa"/>
            <w:vAlign w:val="center"/>
          </w:tcPr>
          <w:p>
            <w:pPr>
              <w:pStyle w:val="88"/>
            </w:pPr>
            <w:r>
              <w:t>1777.98</w:t>
            </w:r>
          </w:p>
        </w:tc>
        <w:tc>
          <w:tcPr>
            <w:tcW w:w="1843" w:type="dxa"/>
            <w:vAlign w:val="center"/>
          </w:tcPr>
          <w:p>
            <w:pPr>
              <w:pStyle w:val="88"/>
            </w:pPr>
            <w:r>
              <w:rPr>
                <w:rFonts w:hint="eastAsia"/>
              </w:rPr>
              <w:t>6.55%</w:t>
            </w:r>
          </w:p>
        </w:tc>
      </w:tr>
      <w:tr>
        <w:tblPrEx>
          <w:tblBorders>
            <w:top w:val="double" w:color="000000" w:sz="4" w:space="0"/>
            <w:left w:val="none" w:color="auto" w:sz="0" w:space="0"/>
            <w:bottom w:val="double" w:color="000000" w:sz="4"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cantSplit/>
          <w:trHeight w:val="283" w:hRule="atLeast"/>
          <w:jc w:val="center"/>
        </w:trPr>
        <w:tc>
          <w:tcPr>
            <w:tcW w:w="4538" w:type="dxa"/>
            <w:vAlign w:val="center"/>
          </w:tcPr>
          <w:p>
            <w:pPr>
              <w:pStyle w:val="88"/>
            </w:pPr>
            <w:r>
              <w:t>第三部分 工程建设其他费用</w:t>
            </w:r>
          </w:p>
        </w:tc>
        <w:tc>
          <w:tcPr>
            <w:tcW w:w="1983" w:type="dxa"/>
            <w:vAlign w:val="center"/>
          </w:tcPr>
          <w:p>
            <w:pPr>
              <w:pStyle w:val="88"/>
            </w:pPr>
            <w:r>
              <w:t>1677.13</w:t>
            </w:r>
          </w:p>
        </w:tc>
        <w:tc>
          <w:tcPr>
            <w:tcW w:w="1843" w:type="dxa"/>
            <w:vAlign w:val="center"/>
          </w:tcPr>
          <w:p>
            <w:pPr>
              <w:pStyle w:val="88"/>
            </w:pPr>
            <w:r>
              <w:rPr>
                <w:rFonts w:hint="eastAsia"/>
              </w:rPr>
              <w:t>6.18%</w:t>
            </w:r>
          </w:p>
        </w:tc>
      </w:tr>
      <w:tr>
        <w:tblPrEx>
          <w:tblBorders>
            <w:top w:val="double" w:color="000000" w:sz="4" w:space="0"/>
            <w:left w:val="none" w:color="auto" w:sz="0" w:space="0"/>
            <w:bottom w:val="double" w:color="000000" w:sz="4"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cantSplit/>
          <w:trHeight w:val="283" w:hRule="atLeast"/>
          <w:jc w:val="center"/>
        </w:trPr>
        <w:tc>
          <w:tcPr>
            <w:tcW w:w="4538" w:type="dxa"/>
            <w:vAlign w:val="center"/>
          </w:tcPr>
          <w:p>
            <w:pPr>
              <w:pStyle w:val="88"/>
            </w:pPr>
            <w:r>
              <w:t xml:space="preserve">  预备费</w:t>
            </w:r>
          </w:p>
        </w:tc>
        <w:tc>
          <w:tcPr>
            <w:tcW w:w="1983" w:type="dxa"/>
            <w:vAlign w:val="center"/>
          </w:tcPr>
          <w:p>
            <w:pPr>
              <w:pStyle w:val="88"/>
            </w:pPr>
            <w:r>
              <w:t>1294.33</w:t>
            </w:r>
          </w:p>
        </w:tc>
        <w:tc>
          <w:tcPr>
            <w:tcW w:w="1843" w:type="dxa"/>
            <w:vAlign w:val="center"/>
          </w:tcPr>
          <w:p>
            <w:pPr>
              <w:pStyle w:val="88"/>
            </w:pPr>
            <w:r>
              <w:rPr>
                <w:rFonts w:hint="eastAsia"/>
              </w:rPr>
              <w:t>4.77%</w:t>
            </w:r>
          </w:p>
        </w:tc>
      </w:tr>
      <w:tr>
        <w:tblPrEx>
          <w:tblBorders>
            <w:top w:val="double" w:color="000000" w:sz="4" w:space="0"/>
            <w:left w:val="none" w:color="auto" w:sz="0" w:space="0"/>
            <w:bottom w:val="double" w:color="000000" w:sz="4"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cantSplit/>
          <w:trHeight w:val="283" w:hRule="atLeast"/>
          <w:jc w:val="center"/>
        </w:trPr>
        <w:tc>
          <w:tcPr>
            <w:tcW w:w="4538" w:type="dxa"/>
            <w:vAlign w:val="center"/>
          </w:tcPr>
          <w:p>
            <w:pPr>
              <w:pStyle w:val="88"/>
            </w:pPr>
            <w:r>
              <w:t xml:space="preserve">  规划用地费</w:t>
            </w:r>
          </w:p>
        </w:tc>
        <w:tc>
          <w:tcPr>
            <w:tcW w:w="1983" w:type="dxa"/>
            <w:vAlign w:val="center"/>
          </w:tcPr>
          <w:p>
            <w:pPr>
              <w:pStyle w:val="88"/>
            </w:pPr>
            <w:r>
              <w:t>7778.40</w:t>
            </w:r>
          </w:p>
        </w:tc>
        <w:tc>
          <w:tcPr>
            <w:tcW w:w="1843" w:type="dxa"/>
            <w:vAlign w:val="center"/>
          </w:tcPr>
          <w:p>
            <w:pPr>
              <w:pStyle w:val="88"/>
            </w:pPr>
            <w:r>
              <w:rPr>
                <w:rFonts w:hint="eastAsia"/>
              </w:rPr>
              <w:t>28.65%</w:t>
            </w:r>
          </w:p>
        </w:tc>
      </w:tr>
      <w:tr>
        <w:tblPrEx>
          <w:tblBorders>
            <w:top w:val="double" w:color="000000" w:sz="4" w:space="0"/>
            <w:left w:val="none" w:color="auto" w:sz="0" w:space="0"/>
            <w:bottom w:val="double" w:color="000000" w:sz="4"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cantSplit/>
          <w:trHeight w:val="283" w:hRule="atLeast"/>
          <w:jc w:val="center"/>
        </w:trPr>
        <w:tc>
          <w:tcPr>
            <w:tcW w:w="4538" w:type="dxa"/>
            <w:vAlign w:val="center"/>
          </w:tcPr>
          <w:p>
            <w:pPr>
              <w:pStyle w:val="88"/>
            </w:pPr>
            <w:r>
              <w:t>铺底流动资金</w:t>
            </w:r>
          </w:p>
        </w:tc>
        <w:tc>
          <w:tcPr>
            <w:tcW w:w="1983" w:type="dxa"/>
            <w:vAlign w:val="center"/>
          </w:tcPr>
          <w:p>
            <w:pPr>
              <w:pStyle w:val="88"/>
            </w:pPr>
            <w:r>
              <w:t>1528.25</w:t>
            </w:r>
          </w:p>
        </w:tc>
        <w:tc>
          <w:tcPr>
            <w:tcW w:w="1843" w:type="dxa"/>
            <w:vAlign w:val="center"/>
          </w:tcPr>
          <w:p>
            <w:pPr>
              <w:pStyle w:val="88"/>
            </w:pPr>
            <w:r>
              <w:rPr>
                <w:rFonts w:hint="eastAsia"/>
              </w:rPr>
              <w:t>5.63%</w:t>
            </w:r>
          </w:p>
        </w:tc>
      </w:tr>
      <w:tr>
        <w:tblPrEx>
          <w:tblBorders>
            <w:top w:val="double" w:color="000000" w:sz="4" w:space="0"/>
            <w:left w:val="none" w:color="auto" w:sz="0" w:space="0"/>
            <w:bottom w:val="double" w:color="000000" w:sz="4"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cantSplit/>
          <w:trHeight w:val="283" w:hRule="atLeast"/>
          <w:jc w:val="center"/>
        </w:trPr>
        <w:tc>
          <w:tcPr>
            <w:tcW w:w="4538" w:type="dxa"/>
            <w:vAlign w:val="center"/>
          </w:tcPr>
          <w:p>
            <w:pPr>
              <w:pStyle w:val="88"/>
            </w:pPr>
            <w:r>
              <w:t>建设期利息</w:t>
            </w:r>
          </w:p>
        </w:tc>
        <w:tc>
          <w:tcPr>
            <w:tcW w:w="1983" w:type="dxa"/>
            <w:vAlign w:val="center"/>
          </w:tcPr>
          <w:p>
            <w:pPr>
              <w:pStyle w:val="88"/>
            </w:pPr>
            <w:r>
              <w:rPr>
                <w:rFonts w:hint="eastAsia"/>
              </w:rPr>
              <w:t>373.43</w:t>
            </w:r>
          </w:p>
        </w:tc>
        <w:tc>
          <w:tcPr>
            <w:tcW w:w="1843" w:type="dxa"/>
            <w:vAlign w:val="center"/>
          </w:tcPr>
          <w:p>
            <w:pPr>
              <w:pStyle w:val="88"/>
            </w:pPr>
            <w:r>
              <w:rPr>
                <w:rFonts w:hint="eastAsia"/>
              </w:rPr>
              <w:t>1.38%</w:t>
            </w:r>
          </w:p>
        </w:tc>
      </w:tr>
      <w:tr>
        <w:tblPrEx>
          <w:tblBorders>
            <w:top w:val="double" w:color="000000" w:sz="4" w:space="0"/>
            <w:left w:val="none" w:color="auto" w:sz="0" w:space="0"/>
            <w:bottom w:val="double" w:color="000000" w:sz="4"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cantSplit/>
          <w:trHeight w:val="283" w:hRule="atLeast"/>
          <w:jc w:val="center"/>
        </w:trPr>
        <w:tc>
          <w:tcPr>
            <w:tcW w:w="4538" w:type="dxa"/>
            <w:tcBorders>
              <w:bottom w:val="double" w:color="000000" w:sz="4" w:space="0"/>
            </w:tcBorders>
            <w:shd w:val="clear" w:color="auto" w:fill="EEECE1"/>
            <w:vAlign w:val="center"/>
          </w:tcPr>
          <w:p>
            <w:pPr>
              <w:pStyle w:val="88"/>
            </w:pPr>
            <w:r>
              <w:t>合计</w:t>
            </w:r>
          </w:p>
        </w:tc>
        <w:tc>
          <w:tcPr>
            <w:tcW w:w="1983" w:type="dxa"/>
            <w:tcBorders>
              <w:bottom w:val="double" w:color="000000" w:sz="4" w:space="0"/>
            </w:tcBorders>
            <w:shd w:val="clear" w:color="auto" w:fill="EEECE1"/>
            <w:vAlign w:val="center"/>
          </w:tcPr>
          <w:p>
            <w:pPr>
              <w:pStyle w:val="88"/>
            </w:pPr>
            <w:r>
              <w:rPr>
                <w:rFonts w:hint="eastAsia"/>
              </w:rPr>
              <w:t>27153.56</w:t>
            </w:r>
          </w:p>
        </w:tc>
        <w:tc>
          <w:tcPr>
            <w:tcW w:w="1843" w:type="dxa"/>
            <w:tcBorders>
              <w:bottom w:val="double" w:color="000000" w:sz="4" w:space="0"/>
            </w:tcBorders>
            <w:shd w:val="clear" w:color="auto" w:fill="EEECE1"/>
            <w:vAlign w:val="center"/>
          </w:tcPr>
          <w:p>
            <w:pPr>
              <w:pStyle w:val="88"/>
            </w:pPr>
            <w:r>
              <w:fldChar w:fldCharType="begin"/>
            </w:r>
            <w:r>
              <w:instrText xml:space="preserve"> =SUM(ABOVE)*100 \# "0.00%"</w:instrText>
            </w:r>
            <w:r>
              <w:fldChar w:fldCharType="separate"/>
            </w:r>
            <w:r>
              <w:t>100.00%</w:t>
            </w:r>
            <w:r>
              <w:fldChar w:fldCharType="end"/>
            </w:r>
          </w:p>
        </w:tc>
      </w:tr>
    </w:tbl>
    <w:p>
      <w:pPr>
        <w:ind w:firstLine="560"/>
        <w:rPr>
          <w:rFonts w:ascii="Times New Roman" w:hAnsi="Times New Roman"/>
          <w:szCs w:val="28"/>
        </w:rPr>
      </w:pPr>
      <w:bookmarkStart w:id="32" w:name="_Toc14932"/>
      <w:r>
        <w:rPr>
          <w:rFonts w:hint="eastAsia" w:ascii="Times New Roman" w:hAnsi="Times New Roman"/>
          <w:szCs w:val="28"/>
        </w:rPr>
        <w:t>政府方已支出的项目前期工作费用，包括立项、可研编制等相关费用，视为政府方前期投入，计入项目总投资。本项目总投资以最终政府或政府委托的第三方机构审计结果为准，审计方式以合同约定为准。</w:t>
      </w:r>
    </w:p>
    <w:p>
      <w:pPr>
        <w:autoSpaceDE w:val="0"/>
        <w:autoSpaceDN w:val="0"/>
        <w:ind w:firstLine="560"/>
        <w:rPr>
          <w:rFonts w:ascii="Times New Roman" w:hAnsi="Times New Roman"/>
          <w:szCs w:val="28"/>
        </w:rPr>
      </w:pPr>
      <w:r>
        <w:rPr>
          <w:rFonts w:hint="eastAsia" w:ascii="Times New Roman" w:hAnsi="Times New Roman"/>
          <w:szCs w:val="28"/>
        </w:rPr>
        <w:t>本项目土地由项目公司通过招拍挂获得，费用已纳入本项目总投资。若本项目土地价格发生变化，按实际变化相应调整本项目总投资。</w:t>
      </w:r>
    </w:p>
    <w:p>
      <w:pPr>
        <w:pStyle w:val="3"/>
        <w:ind w:firstLine="562"/>
        <w:rPr>
          <w:rFonts w:ascii="Times New Roman" w:hAnsi="Times New Roman"/>
          <w:szCs w:val="28"/>
        </w:rPr>
      </w:pPr>
      <w:bookmarkStart w:id="33" w:name="_Toc468088595"/>
      <w:r>
        <w:rPr>
          <w:rFonts w:ascii="Times New Roman" w:hAnsi="Times New Roman"/>
          <w:szCs w:val="28"/>
        </w:rPr>
        <w:t>1.9 主要产出说明</w:t>
      </w:r>
      <w:bookmarkEnd w:id="32"/>
      <w:bookmarkEnd w:id="33"/>
    </w:p>
    <w:p>
      <w:pPr>
        <w:ind w:firstLine="560"/>
      </w:pPr>
      <w:r>
        <w:t>呈贡中心粮库的建设</w:t>
      </w:r>
      <w:r>
        <w:rPr>
          <w:rFonts w:hint="eastAsia"/>
        </w:rPr>
        <w:t>内容详见本方案1.6款，</w:t>
      </w:r>
      <w:r>
        <w:t>涵盖了粮油仓储及加工设施房建设，以及主要辅助建筑设施建设。本项目的建设运营，将大大提高呈贡区粮食的储备量，提高人民生活水平。并且可以初步建立供给稳定、储备充足、调控有力、运转高效的粮食流通体系。粮食宏观调控能力、仓储和物流能力、应急保障能力、粮食流通效率和粮食加工转化增值水平明显提高。基本形成布局合理、结构优化、物畅其流、管理科学、竞争有序、质量安全的现代粮食流通产业新格局。</w:t>
      </w:r>
    </w:p>
    <w:p>
      <w:pPr>
        <w:pStyle w:val="3"/>
        <w:ind w:firstLine="562"/>
        <w:rPr>
          <w:rFonts w:ascii="Times New Roman" w:hAnsi="Times New Roman"/>
          <w:szCs w:val="28"/>
        </w:rPr>
      </w:pPr>
      <w:bookmarkStart w:id="34" w:name="_Toc23067"/>
      <w:bookmarkStart w:id="35" w:name="_Toc468088596"/>
      <w:r>
        <w:rPr>
          <w:rFonts w:ascii="Times New Roman" w:hAnsi="Times New Roman"/>
          <w:szCs w:val="28"/>
        </w:rPr>
        <w:t>1.10 项目</w:t>
      </w:r>
      <w:bookmarkEnd w:id="34"/>
      <w:r>
        <w:rPr>
          <w:rFonts w:ascii="Times New Roman" w:hAnsi="Times New Roman"/>
          <w:szCs w:val="28"/>
        </w:rPr>
        <w:t>前期工作</w:t>
      </w:r>
      <w:bookmarkEnd w:id="35"/>
    </w:p>
    <w:p>
      <w:pPr>
        <w:ind w:firstLine="560"/>
      </w:pPr>
      <w:r>
        <w:t>该项目已完成工程可行性研究报告的批复，规划用地批复，环境影响报告批复，水土保持方案的行政许可，项目选址等的批复。</w:t>
      </w:r>
    </w:p>
    <w:p>
      <w:pPr>
        <w:ind w:firstLine="560"/>
      </w:pPr>
      <w:r>
        <w:t>2014年6月18日，取得昆明呈贡新区管理委员会核发的《建设项目选址意见书》（选字第530114201400004号）；</w:t>
      </w:r>
    </w:p>
    <w:p>
      <w:pPr>
        <w:ind w:firstLine="560"/>
      </w:pPr>
      <w:r>
        <w:t>2014年9月18日，取得云南森雅环保科技有限公司出具的《呈贡中心粮库建设项目》监测报告（NO:YNSYHB2014-105）；</w:t>
      </w:r>
    </w:p>
    <w:p>
      <w:pPr>
        <w:ind w:firstLine="560"/>
      </w:pPr>
      <w:r>
        <w:t>2014年9月25日，取得昆明市国土资源局呈贡分局《关于&lt;昆明市呈贡中心粮库建设项目用地不压覆矿产资源&gt;的备案证明》（〔2014〕7号），结论为“拟建设项目范围内目前无探矿权设置、无采矿权设置、无国家探明地、无划定矿区范围，压覆一个国家规划区域-昆明一华宁聚磷盆地深部磷矿资源整装勘查区，未压覆查明矿产资源；</w:t>
      </w:r>
    </w:p>
    <w:p>
      <w:pPr>
        <w:ind w:firstLine="560"/>
      </w:pPr>
      <w:r>
        <w:t>2014年10月11日，取得昆明市呈贡区环境保护局《关于对&lt;呈贡中心粮库建设项目环境影响报告书&gt;的批复》（呈环保复〔2014〕58号）；</w:t>
      </w:r>
    </w:p>
    <w:p>
      <w:pPr>
        <w:ind w:firstLine="560"/>
      </w:pPr>
      <w:r>
        <w:t>2014年11月18日，取得云南省国土资源厅《地质灾害危险性评估报告》备案登记（编号：14-587）；</w:t>
      </w:r>
    </w:p>
    <w:p>
      <w:pPr>
        <w:ind w:firstLine="560"/>
      </w:pPr>
      <w:r>
        <w:t>2014年12月15日，取得昆明市呈贡区水务局《关于&lt;呈贡中心粮库项目水土保持方案可行性研究报告书&gt;的批复》（呈水复〔2014〕35号）；</w:t>
      </w:r>
    </w:p>
    <w:p>
      <w:pPr>
        <w:pStyle w:val="3"/>
        <w:ind w:firstLine="562"/>
        <w:rPr>
          <w:rFonts w:ascii="Times New Roman" w:hAnsi="Times New Roman"/>
          <w:szCs w:val="28"/>
        </w:rPr>
      </w:pPr>
      <w:bookmarkStart w:id="36" w:name="_Toc5308"/>
      <w:bookmarkStart w:id="37" w:name="_Toc468088597"/>
      <w:r>
        <w:rPr>
          <w:rFonts w:ascii="Times New Roman" w:hAnsi="Times New Roman"/>
          <w:szCs w:val="28"/>
        </w:rPr>
        <w:t>1.11 采用PPP模式的必要性和可行性分析</w:t>
      </w:r>
      <w:bookmarkEnd w:id="36"/>
      <w:bookmarkEnd w:id="37"/>
    </w:p>
    <w:p>
      <w:pPr>
        <w:pStyle w:val="4"/>
        <w:ind w:firstLine="562"/>
      </w:pPr>
      <w:bookmarkStart w:id="38" w:name="_Toc7074"/>
      <w:bookmarkStart w:id="39" w:name="_Toc468088598"/>
      <w:r>
        <w:t>1.11.1 必要性分析</w:t>
      </w:r>
      <w:bookmarkEnd w:id="38"/>
      <w:bookmarkEnd w:id="39"/>
    </w:p>
    <w:p>
      <w:pPr>
        <w:ind w:firstLine="560"/>
        <w:rPr>
          <w:rFonts w:ascii="Times New Roman" w:hAnsi="Times New Roman"/>
          <w:szCs w:val="28"/>
        </w:rPr>
      </w:pPr>
      <w:r>
        <w:rPr>
          <w:rFonts w:ascii="Times New Roman" w:hAnsi="Times New Roman"/>
          <w:szCs w:val="28"/>
        </w:rPr>
        <w:t>政府和社会资本合作模式是公共服务供给机制的重大创新，即政府采取竞争性方式择优选择具有投资、运营管理能力的社会资本，双方按照平等协商原则订立合同，明确责权利关系，由社会资本提供公共服务，政府依据公共服务绩效评价结果向社会资本支付相应对价，保证社会资本获得合理收益。政府和社会资本合作模式有利于充分发挥市场机制作用，提升公共服务的供给质量和效率，实现公共利益最大化。其必要性在于：</w:t>
      </w:r>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推广运用政府和社会资本合作模式，是促进经济转型升级、支持新型城镇化建设的必然要求。政府通过政府和社会资本合作模式向社会资本开放基础设施和公共服务项目，可以拓宽城镇化建设融资渠道，形成多元化、可持续的资金投入机制，有利于整合社会资源，盘活社会存量资本，激发民间投资活力，拓展企业发展空间，提升经济增长动力，促进经济结构调整和转型升级。</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推广运用政府和社会资本合作模式，是加快转变政府职能、提升国家治理能力的一次体制机制变革。规范的政府和社会资本合作模式能够将政府的发展规划、市场监管、公共服务职能，与社会资本的管理效率、技术创新动力有机结合，减少政府对微观事务的过度参与，提高公共服务的效率与质量。政府和社会资本合作模式要求平等参与、公开透明，政府和社会资本按照合同办事，有利于简政放权，更好地实现政府职能转变，弘扬契约文化，体现现代国家治理理念。</w:t>
      </w:r>
    </w:p>
    <w:p>
      <w:pPr>
        <w:ind w:firstLine="560"/>
        <w:rPr>
          <w:rFonts w:ascii="Times New Roman" w:hAnsi="Times New Roman"/>
          <w:szCs w:val="28"/>
        </w:rPr>
      </w:pPr>
      <w:r>
        <w:rPr>
          <w:rFonts w:hint="eastAsia" w:ascii="Times New Roman" w:hAnsi="Times New Roman"/>
          <w:szCs w:val="28"/>
        </w:rPr>
        <w:t>（3）</w:t>
      </w:r>
      <w:r>
        <w:rPr>
          <w:rFonts w:ascii="Times New Roman" w:hAnsi="Times New Roman"/>
          <w:szCs w:val="28"/>
        </w:rPr>
        <w:t>推广运用政府和社会资本合作模式，是深化财税体制改革、构建现代财政制度的重要内容。根据财税体制改革要求，现代财政制度的重要内容之一是建立跨年度预算平衡机制、实行中期财政规划管理、编制完整体现政府资产负债状况的综合财务报告等。政府和社会资本合作模式的实质是政府购买服务，要求从以往单一年度的预算收支管理，逐步转向强化中长期财政规划，这与深化财税体制改革的方向和目标高度一致。</w:t>
      </w:r>
    </w:p>
    <w:p>
      <w:pPr>
        <w:ind w:firstLine="560"/>
        <w:rPr>
          <w:rFonts w:ascii="Times New Roman" w:hAnsi="Times New Roman"/>
          <w:szCs w:val="28"/>
        </w:rPr>
      </w:pPr>
      <w:r>
        <w:rPr>
          <w:rFonts w:hint="eastAsia" w:ascii="Times New Roman" w:hAnsi="Times New Roman"/>
          <w:szCs w:val="28"/>
        </w:rPr>
        <w:t>（4）</w:t>
      </w:r>
      <w:r>
        <w:rPr>
          <w:rFonts w:ascii="Times New Roman" w:hAnsi="Times New Roman"/>
          <w:szCs w:val="28"/>
        </w:rPr>
        <w:t>鼓励社会资本通过政府和社会资本合作模式，参与基础设施投资领域项目，与政府共同参与项目全生命周期管理，发挥政府和社会资本各自优势，提高服务供给的质量和效率，对促进市政公用领域的发展具有重要意义。</w:t>
      </w:r>
    </w:p>
    <w:p>
      <w:pPr>
        <w:pStyle w:val="4"/>
        <w:ind w:firstLine="562"/>
      </w:pPr>
      <w:bookmarkStart w:id="40" w:name="_Toc468088599"/>
      <w:bookmarkStart w:id="41" w:name="_Toc32446"/>
      <w:r>
        <w:t>1.11.2 可行性分析</w:t>
      </w:r>
      <w:bookmarkEnd w:id="40"/>
      <w:bookmarkEnd w:id="41"/>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满足采用PPP模式的规定要求</w:t>
      </w:r>
    </w:p>
    <w:p>
      <w:pPr>
        <w:ind w:firstLine="560"/>
        <w:rPr>
          <w:rFonts w:ascii="Times New Roman" w:hAnsi="Times New Roman"/>
          <w:szCs w:val="28"/>
        </w:rPr>
      </w:pPr>
      <w:r>
        <w:rPr>
          <w:rFonts w:ascii="Times New Roman" w:hAnsi="Times New Roman"/>
          <w:szCs w:val="28"/>
        </w:rPr>
        <w:t>本项目属于</w:t>
      </w:r>
      <w:r>
        <w:rPr>
          <w:rFonts w:ascii="Times New Roman" w:hAnsi="Times New Roman"/>
          <w:bCs/>
          <w:szCs w:val="28"/>
        </w:rPr>
        <w:t>基础设施投资</w:t>
      </w:r>
      <w:r>
        <w:rPr>
          <w:rFonts w:ascii="Times New Roman" w:hAnsi="Times New Roman"/>
          <w:szCs w:val="28"/>
        </w:rPr>
        <w:t>领域的粮库建设项目，项目投资规模大、合作期限长。从项目范围、规模和期限上都符合财政部适宜采用PPP模式的限定条件，满足财政部《关于组织开展第三批政府和社会资本合作示范项目申报筛选工作的通知》（财金函〔2016〕47号）相关规定要求。</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项目组织领导机制</w:t>
      </w:r>
    </w:p>
    <w:p>
      <w:pPr>
        <w:ind w:firstLine="560"/>
        <w:rPr>
          <w:rFonts w:ascii="Times New Roman" w:hAnsi="Times New Roman"/>
          <w:szCs w:val="28"/>
        </w:rPr>
      </w:pPr>
      <w:r>
        <w:rPr>
          <w:rFonts w:ascii="Times New Roman" w:hAnsi="Times New Roman"/>
          <w:szCs w:val="28"/>
        </w:rPr>
        <w:t>为顺利推进本项目的落地实施，区政府专门成立了“呈贡中心粮库建设工作领导小组”，负责对本项目的重大问题进行研究、关键节点进行审核。领导小组成员名单如下：</w:t>
      </w:r>
    </w:p>
    <w:p>
      <w:pPr>
        <w:ind w:firstLine="560"/>
      </w:pPr>
      <w:r>
        <w:t>组  长：</w:t>
      </w:r>
      <w:r>
        <w:rPr>
          <w:rFonts w:hint="eastAsia"/>
          <w:color w:val="000000" w:themeColor="text1"/>
        </w:rPr>
        <w:t>杨  飞</w:t>
      </w:r>
      <w:r>
        <w:t>（区委常委、常务副区长）</w:t>
      </w:r>
    </w:p>
    <w:p>
      <w:pPr>
        <w:ind w:firstLine="560"/>
      </w:pPr>
      <w:r>
        <w:t>副组长：陈  勇（区政府办副主任）</w:t>
      </w:r>
    </w:p>
    <w:p>
      <w:pPr>
        <w:ind w:firstLine="560"/>
      </w:pPr>
      <w:r>
        <w:t xml:space="preserve">        </w:t>
      </w:r>
      <w:r>
        <w:rPr>
          <w:rFonts w:hint="eastAsia"/>
        </w:rPr>
        <w:t>刘  燚</w:t>
      </w:r>
      <w:r>
        <w:t>（区发改局局长）</w:t>
      </w:r>
    </w:p>
    <w:p>
      <w:pPr>
        <w:ind w:firstLine="560"/>
      </w:pPr>
      <w:r>
        <w:t xml:space="preserve">        王艳明（区发改局党委书记、粮食局局长）</w:t>
      </w:r>
    </w:p>
    <w:p>
      <w:pPr>
        <w:ind w:firstLine="560"/>
      </w:pPr>
      <w:r>
        <w:t>成  员：张  雁（区住建局局长）</w:t>
      </w:r>
    </w:p>
    <w:p>
      <w:pPr>
        <w:ind w:firstLine="560"/>
      </w:pPr>
      <w:r>
        <w:t xml:space="preserve">        张剑青（市规划局呈贡分局局长）</w:t>
      </w:r>
    </w:p>
    <w:p>
      <w:pPr>
        <w:ind w:firstLine="560"/>
      </w:pPr>
      <w:r>
        <w:t xml:space="preserve">        汪  勇（区公安消防大队大队长）</w:t>
      </w:r>
    </w:p>
    <w:p>
      <w:pPr>
        <w:ind w:firstLine="560"/>
      </w:pPr>
      <w:r>
        <w:t xml:space="preserve">        唐  洪（市国土局呈贡分局副局长）</w:t>
      </w:r>
    </w:p>
    <w:p>
      <w:pPr>
        <w:ind w:firstLine="560"/>
      </w:pPr>
      <w:r>
        <w:t xml:space="preserve">        胡  宇（市土储中心呈贡分中心副主任）</w:t>
      </w:r>
    </w:p>
    <w:p>
      <w:pPr>
        <w:ind w:firstLine="560"/>
      </w:pPr>
      <w:r>
        <w:t xml:space="preserve">        </w:t>
      </w:r>
      <w:r>
        <w:rPr>
          <w:rFonts w:hint="eastAsia"/>
        </w:rPr>
        <w:t>高宏莉</w:t>
      </w:r>
      <w:r>
        <w:t>（区财政局副局长）</w:t>
      </w:r>
    </w:p>
    <w:p>
      <w:pPr>
        <w:ind w:firstLine="560"/>
      </w:pPr>
      <w:r>
        <w:t xml:space="preserve">        袁海鸿（区发改局副局长）</w:t>
      </w:r>
    </w:p>
    <w:p>
      <w:pPr>
        <w:ind w:firstLine="560"/>
      </w:pPr>
      <w:r>
        <w:t xml:space="preserve">        曹艳明（市供电局呈贡分局副局长）</w:t>
      </w:r>
    </w:p>
    <w:p>
      <w:pPr>
        <w:ind w:firstLine="560"/>
      </w:pPr>
      <w:r>
        <w:t xml:space="preserve">        </w:t>
      </w:r>
      <w:r>
        <w:rPr>
          <w:rFonts w:hint="eastAsia"/>
        </w:rPr>
        <w:t>张晶晶</w:t>
      </w:r>
      <w:r>
        <w:t>（吴家营街道办事处副主任）</w:t>
      </w:r>
    </w:p>
    <w:p>
      <w:pPr>
        <w:ind w:firstLine="560"/>
      </w:pPr>
      <w:r>
        <w:t xml:space="preserve">        陈云雄（区审计局副局长）</w:t>
      </w:r>
    </w:p>
    <w:p>
      <w:pPr>
        <w:ind w:firstLine="560"/>
        <w:rPr>
          <w:rFonts w:ascii="仿宋" w:hAnsi="仿宋" w:cs="仿宋"/>
          <w:szCs w:val="28"/>
        </w:rPr>
      </w:pPr>
      <w:r>
        <w:rPr>
          <w:rFonts w:hint="eastAsia"/>
        </w:rPr>
        <w:t>（3）</w:t>
      </w:r>
      <w:r>
        <w:t>政府方合作意愿</w:t>
      </w:r>
    </w:p>
    <w:p>
      <w:pPr>
        <w:adjustRightInd w:val="0"/>
        <w:snapToGrid w:val="0"/>
        <w:ind w:firstLine="560"/>
        <w:rPr>
          <w:rFonts w:ascii="仿宋" w:hAnsi="仿宋" w:cs="仿宋"/>
          <w:szCs w:val="28"/>
        </w:rPr>
      </w:pPr>
      <w:r>
        <w:rPr>
          <w:rFonts w:ascii="Times New Roman" w:hAnsi="Times New Roman"/>
          <w:szCs w:val="28"/>
        </w:rPr>
        <w:t>在公共服务领域采用PPP模式开展政府与社会资本合作，符合当前国家政策导向。在国务院及有关部委正式发布相关鼓励采用PPP模式开展基础设施建设，减少地方政府性债务的通知后，区人民政府、财政、粮食等部门均支持采用BOT</w:t>
      </w:r>
      <w:r>
        <w:rPr>
          <w:rFonts w:hint="eastAsia" w:ascii="Times New Roman" w:hAnsi="Times New Roman"/>
          <w:szCs w:val="28"/>
        </w:rPr>
        <w:t>方式</w:t>
      </w:r>
      <w:r>
        <w:rPr>
          <w:rFonts w:ascii="Times New Roman" w:hAnsi="Times New Roman"/>
          <w:szCs w:val="28"/>
        </w:rPr>
        <w:t>推进呈贡中心粮库项目。</w:t>
      </w:r>
    </w:p>
    <w:p>
      <w:pPr>
        <w:ind w:firstLine="560"/>
      </w:pPr>
      <w:r>
        <w:rPr>
          <w:rFonts w:hint="eastAsia"/>
        </w:rPr>
        <w:t>（4）</w:t>
      </w:r>
      <w:r>
        <w:t>项目对国家有关政策落实与执行情况</w:t>
      </w:r>
    </w:p>
    <w:p>
      <w:pPr>
        <w:ind w:firstLine="560"/>
        <w:rPr>
          <w:rFonts w:ascii="仿宋" w:hAnsi="仿宋" w:cs="仿宋"/>
          <w:szCs w:val="28"/>
        </w:rPr>
      </w:pPr>
      <w:r>
        <w:rPr>
          <w:rFonts w:hint="eastAsia" w:ascii="仿宋" w:hAnsi="仿宋" w:cs="仿宋"/>
          <w:szCs w:val="28"/>
        </w:rPr>
        <w:t>区政府在接到《关于市政公用领域开展政府和社会资本合作项目推介工作的通知》后，及时组织PPP项目工作协调领导小组认真学习领会通知精神，全面梳理我区市政公用产品的服务供给现状，有重点的选择收费定价机制透明、有稳定现金流的市政公用项目，引导社会资本参与投资、运营，共同承担项目全生命周期管理，发挥政府和社会资本各自优势，提高市政公用产品和服务供给的质量和效率。 从而改变我区过去主要以土地使用权等抵押担保、借地方投融资平台发债等途径筹集资金建设市政公用项目的传统做法，有序推进以特许经营等方式吸引社会资本的新模式，促进政府和社会资本合作。</w:t>
      </w:r>
    </w:p>
    <w:p>
      <w:pPr>
        <w:ind w:firstLine="560"/>
      </w:pPr>
      <w:r>
        <w:rPr>
          <w:rFonts w:hint="eastAsia" w:ascii="仿宋" w:hAnsi="仿宋" w:cs="仿宋"/>
          <w:szCs w:val="28"/>
        </w:rPr>
        <w:t>区政府在项目发起、物有所值评价、财政承受能力论证、合作伙伴选择、收益补偿机制确立、项目公司组建、合作协议签署、绩效评价等操作过程中，根据财政部关于PPP工作的统一指导规范推进，聘请第三方机构提供咨询服务，科学制定实施方案，并配合区财政局、区粮食局研究制定符合我区实际情况的操作办法，实现规范化管理。</w:t>
      </w:r>
      <w:r>
        <w:rPr>
          <w:rFonts w:ascii="仿宋" w:hAnsi="仿宋" w:cs="仿宋"/>
          <w:szCs w:val="28"/>
        </w:rPr>
        <w:t> </w:t>
      </w:r>
    </w:p>
    <w:p>
      <w:pPr>
        <w:ind w:firstLine="560"/>
        <w:rPr>
          <w:rFonts w:ascii="Times New Roman" w:hAnsi="Times New Roman"/>
          <w:szCs w:val="28"/>
        </w:rPr>
      </w:pPr>
      <w:r>
        <w:rPr>
          <w:rFonts w:hint="eastAsia" w:ascii="Times New Roman" w:hAnsi="Times New Roman"/>
          <w:szCs w:val="28"/>
        </w:rPr>
        <w:t>（5）</w:t>
      </w:r>
      <w:r>
        <w:rPr>
          <w:rFonts w:ascii="Times New Roman" w:hAnsi="Times New Roman"/>
          <w:szCs w:val="28"/>
        </w:rPr>
        <w:t>对社会资本有较强的吸引力</w:t>
      </w:r>
    </w:p>
    <w:p>
      <w:pPr>
        <w:ind w:firstLine="560"/>
        <w:rPr>
          <w:rFonts w:ascii="Times New Roman" w:hAnsi="Times New Roman"/>
          <w:szCs w:val="28"/>
        </w:rPr>
      </w:pPr>
      <w:r>
        <w:rPr>
          <w:rFonts w:ascii="Times New Roman" w:hAnsi="Times New Roman"/>
          <w:szCs w:val="28"/>
        </w:rPr>
        <w:t>《国务院办公厅转发财政部发展改革委人民银行&lt;关于在公共服务领域推广政府和社会资本合作模式的指导意见&gt;的通知》（国办发〔2015〕42号）明确规定：由社会资本提供公共服务，政府依据公共服务绩效评价结果向社会资本支付相应对价，保证社会资本获得合理收益。</w:t>
      </w:r>
    </w:p>
    <w:p>
      <w:pPr>
        <w:ind w:firstLine="560"/>
        <w:rPr>
          <w:rFonts w:ascii="Times New Roman" w:hAnsi="Times New Roman"/>
          <w:szCs w:val="28"/>
        </w:rPr>
      </w:pPr>
      <w:r>
        <w:rPr>
          <w:rFonts w:ascii="Times New Roman" w:hAnsi="Times New Roman"/>
          <w:szCs w:val="28"/>
        </w:rPr>
        <w:t>《国务院关于加强地方政府性债务管理的意见》（国发〔2014〕43号）明确指出：推广使用政府与社会资本合作模式。鼓励社会资本通过特许经营等方式，参与城市基础设施等有一定收益的公益性事业投资和运营。政府通过特许经营权、合理定价、财政补贴等事先公开的收益约定规则，使投资者有长期稳定收益。</w:t>
      </w:r>
    </w:p>
    <w:p>
      <w:pPr>
        <w:ind w:firstLine="560"/>
        <w:rPr>
          <w:rFonts w:ascii="Times New Roman" w:hAnsi="Times New Roman"/>
          <w:szCs w:val="28"/>
        </w:rPr>
      </w:pPr>
      <w:r>
        <w:rPr>
          <w:rFonts w:ascii="Times New Roman" w:hAnsi="Times New Roman"/>
          <w:szCs w:val="28"/>
        </w:rPr>
        <w:t>财政部《财金〔2014〕76号要求：在与社会资本协商确定项目财政支出责任时，地方各级财政部门要对各种形式的资金支持给予统筹，综合考虑项目风险等因素合理确定资金支持方式和力度，切实考虑社会资本合理收益。</w:t>
      </w:r>
    </w:p>
    <w:p>
      <w:pPr>
        <w:ind w:firstLine="560"/>
      </w:pPr>
      <w:r>
        <w:rPr>
          <w:rFonts w:ascii="Times New Roman" w:hAnsi="Times New Roman"/>
          <w:szCs w:val="28"/>
        </w:rPr>
        <w:t>顶层制度设计有力保障了社会资本在PPP合作过程中的运营权与收益权。本项目的回报机制为可行性缺口补助，政府将负有支付义务的付费责任纳入一般公共财政预算安排，项目合作期长、收益稳定，对社会资本有较大的吸引力。</w:t>
      </w:r>
    </w:p>
    <w:p>
      <w:pPr>
        <w:pStyle w:val="4"/>
        <w:ind w:firstLine="562"/>
      </w:pPr>
      <w:bookmarkStart w:id="42" w:name="_Toc468088600"/>
      <w:bookmarkStart w:id="43" w:name="_Toc22448"/>
      <w:r>
        <w:t>1.11.3 市场测试情况</w:t>
      </w:r>
      <w:bookmarkEnd w:id="42"/>
      <w:bookmarkEnd w:id="43"/>
    </w:p>
    <w:p>
      <w:pPr>
        <w:ind w:firstLine="560"/>
      </w:pPr>
      <w:r>
        <w:t>本项目于2016年</w:t>
      </w:r>
      <w:r>
        <w:rPr>
          <w:rFonts w:hint="eastAsia"/>
        </w:rPr>
        <w:t>8</w:t>
      </w:r>
      <w:r>
        <w:t>月组织了市场测试</w:t>
      </w:r>
      <w:r>
        <w:rPr>
          <w:color w:val="000000" w:themeColor="text1"/>
        </w:rPr>
        <w:t>，云南</w:t>
      </w:r>
      <w:r>
        <w:rPr>
          <w:rFonts w:hint="eastAsia"/>
          <w:color w:val="000000" w:themeColor="text1"/>
        </w:rPr>
        <w:t>农垦</w:t>
      </w:r>
      <w:r>
        <w:rPr>
          <w:color w:val="000000" w:themeColor="text1"/>
        </w:rPr>
        <w:t>集团</w:t>
      </w:r>
      <w:r>
        <w:rPr>
          <w:rFonts w:hint="eastAsia"/>
          <w:color w:val="000000" w:themeColor="text1"/>
        </w:rPr>
        <w:t>、俊发建设集团</w:t>
      </w:r>
      <w:r>
        <w:rPr>
          <w:color w:val="000000" w:themeColor="text1"/>
        </w:rPr>
        <w:t>等多家单位对项目表示了合作意向。</w:t>
      </w:r>
    </w:p>
    <w:p>
      <w:pPr>
        <w:pStyle w:val="4"/>
        <w:ind w:firstLine="562"/>
      </w:pPr>
      <w:bookmarkStart w:id="44" w:name="_Toc18686"/>
      <w:bookmarkStart w:id="45" w:name="_Toc468088601"/>
      <w:r>
        <w:t>1.11.4 政府现有支持安排</w:t>
      </w:r>
      <w:bookmarkEnd w:id="44"/>
      <w:bookmarkEnd w:id="45"/>
    </w:p>
    <w:p>
      <w:pPr>
        <w:ind w:firstLine="560"/>
      </w:pPr>
      <w:r>
        <w:t>除融资支持外，政府方为项目公司取得相关土地权利提供必要的协助，协助项目公司获得有关政府审批。</w:t>
      </w:r>
    </w:p>
    <w:p>
      <w:pPr>
        <w:pStyle w:val="2"/>
        <w:spacing w:before="240" w:after="240" w:line="560" w:lineRule="exact"/>
        <w:ind w:firstLine="562"/>
        <w:jc w:val="left"/>
        <w:rPr>
          <w:rFonts w:ascii="黑体" w:hAnsi="黑体" w:eastAsia="黑体" w:cs="黑体"/>
          <w:sz w:val="28"/>
          <w:szCs w:val="28"/>
        </w:rPr>
      </w:pPr>
      <w:bookmarkStart w:id="46" w:name="_Toc468088602"/>
      <w:bookmarkStart w:id="47" w:name="_Toc14294"/>
      <w:r>
        <w:rPr>
          <w:rFonts w:hint="eastAsia" w:ascii="黑体" w:hAnsi="黑体" w:eastAsia="黑体" w:cs="黑体"/>
          <w:sz w:val="28"/>
          <w:szCs w:val="28"/>
        </w:rPr>
        <w:t>二、风险分配框架</w:t>
      </w:r>
      <w:bookmarkEnd w:id="46"/>
      <w:bookmarkEnd w:id="47"/>
    </w:p>
    <w:p>
      <w:pPr>
        <w:pStyle w:val="3"/>
        <w:ind w:firstLine="562"/>
        <w:rPr>
          <w:rFonts w:ascii="Times New Roman" w:hAnsi="Times New Roman"/>
          <w:szCs w:val="28"/>
        </w:rPr>
      </w:pPr>
      <w:bookmarkStart w:id="48" w:name="_Toc468088603"/>
      <w:bookmarkStart w:id="49" w:name="_Toc9949"/>
      <w:r>
        <w:rPr>
          <w:rFonts w:ascii="Times New Roman" w:hAnsi="Times New Roman"/>
          <w:szCs w:val="28"/>
        </w:rPr>
        <w:t>2.1 风险识别</w:t>
      </w:r>
      <w:bookmarkEnd w:id="48"/>
      <w:bookmarkEnd w:id="49"/>
    </w:p>
    <w:p>
      <w:pPr>
        <w:ind w:firstLine="560"/>
        <w:rPr>
          <w:rFonts w:ascii="Times New Roman" w:hAnsi="Times New Roman"/>
          <w:b/>
          <w:bCs/>
          <w:szCs w:val="28"/>
        </w:rPr>
      </w:pPr>
      <w:r>
        <w:rPr>
          <w:rFonts w:ascii="Times New Roman" w:hAnsi="Times New Roman"/>
          <w:szCs w:val="28"/>
        </w:rPr>
        <w:t>本项目由于具有规模大、投资高、周期长、建设参与方多、生产的单件性和复杂性等特点，其建设过程中所面临的影响因素多，从而风险因素多，风险损失大。PPP模式是一种比较复杂的项目投融资模式，它涉及国家的财政、金融和法律制度，项目全生命周期主要风险包括商业风险、法律风险、政策风险、不可抗力风险、移交风险、金融风险等。</w:t>
      </w:r>
    </w:p>
    <w:p>
      <w:pPr>
        <w:pStyle w:val="4"/>
        <w:ind w:firstLine="562"/>
      </w:pPr>
      <w:bookmarkStart w:id="50" w:name="_Toc468088604"/>
      <w:r>
        <w:t>2.1.1 商业风险</w:t>
      </w:r>
      <w:bookmarkEnd w:id="50"/>
    </w:p>
    <w:p>
      <w:pPr>
        <w:ind w:firstLine="560"/>
      </w:pPr>
      <w:r>
        <w:t>本项目中的商业风险主要包含项目设计、建设、财务、运营维护等。</w:t>
      </w:r>
    </w:p>
    <w:p>
      <w:pPr>
        <w:ind w:firstLine="560"/>
      </w:pPr>
      <w:r>
        <w:t>项目设计风险主要包括：可能存在设计不当、设计方案优化不足、设计深化程度不够等风险。</w:t>
      </w:r>
    </w:p>
    <w:p>
      <w:pPr>
        <w:ind w:firstLine="560"/>
      </w:pPr>
      <w:r>
        <w:t>工程建设风险主要包括:由于工程技术复杂程度、路线方案、工程地质条件、水文地质条件与预测发生重大变化，导致工程量增加、投资增加、工期拖延等给项目带来的风险。还包括承包商违约、工程质量、安全、建设成本超支、施工方案不当等造成的风险。</w:t>
      </w:r>
    </w:p>
    <w:p>
      <w:pPr>
        <w:ind w:firstLine="560"/>
      </w:pPr>
      <w:r>
        <w:t>财务风险主要是指项目建设因不能及时融资导致资金供应不足或者来源中断导致项目工期拖延甚至被迫终止等。</w:t>
      </w:r>
    </w:p>
    <w:p>
      <w:pPr>
        <w:ind w:firstLine="560"/>
      </w:pPr>
      <w:r>
        <w:t>运营维护风险主要是指项目公司在运营过程中，由于外部环境的复杂性和变动性以及主体对环境的认知能力和适应能力的有限性，而导致的运营失败或使运营活动达不到预期的目标的可能性及其损失。本项目主要包括运营管理风险、粮食储备量风险、运营收入、运营成本超支、运营商违约等风险。</w:t>
      </w:r>
    </w:p>
    <w:p>
      <w:pPr>
        <w:pStyle w:val="4"/>
        <w:ind w:firstLine="562"/>
      </w:pPr>
      <w:bookmarkStart w:id="51" w:name="_Toc468088605"/>
      <w:r>
        <w:t>2.1.2 法律风险</w:t>
      </w:r>
      <w:bookmarkEnd w:id="51"/>
    </w:p>
    <w:p>
      <w:pPr>
        <w:ind w:firstLine="560"/>
      </w:pPr>
      <w:r>
        <w:t>法律风险主要是指由于采纳、颁布、修订、重新诠释法律或规定而导致项目的合法性、市场需求、产品/服务收费、合同协议的有效性等元素发生变化，从而对项目的正常建设和运营带来损害，甚至直接导致项目的中止和失败的风险。目前PPP模式的法律法规体系并不健全，多以规范性文件与政策为主，不同政府部门颁布的规范性文件与政策存在冲突、矛盾或者不一致的情形下，将产生法律风险。如：合同文件冲突、第三方延误/违约等。</w:t>
      </w:r>
    </w:p>
    <w:p>
      <w:pPr>
        <w:pStyle w:val="4"/>
        <w:ind w:firstLine="562"/>
      </w:pPr>
      <w:bookmarkStart w:id="52" w:name="_Toc468088606"/>
      <w:r>
        <w:t>2.1.3 政策风险</w:t>
      </w:r>
      <w:bookmarkEnd w:id="52"/>
    </w:p>
    <w:p>
      <w:pPr>
        <w:ind w:firstLine="560"/>
      </w:pPr>
      <w:r>
        <w:t>政策风险主要来自两个方面：一是指国家政策影响区域经济的发展，从而影响项目需求；二是国家由于某种政治或经济政策上的原因，对项目建设、运营、管理等方面政策法规的变化。政策变化最终影响项目经营成本和收入，从而影响项目的获利水平以及债务偿还能力。本项目短期内政策风险不大，长期政策风险很难预测,如：特许经营权变更、项目征用/公有化、审批延误、行业规定变化等。</w:t>
      </w:r>
    </w:p>
    <w:p>
      <w:pPr>
        <w:pStyle w:val="4"/>
        <w:ind w:firstLine="562"/>
      </w:pPr>
      <w:bookmarkStart w:id="53" w:name="_Toc468088607"/>
      <w:r>
        <w:t>2.1.4 不可抗力</w:t>
      </w:r>
      <w:bookmarkEnd w:id="53"/>
    </w:p>
    <w:p>
      <w:pPr>
        <w:ind w:firstLine="560"/>
      </w:pPr>
      <w:r>
        <w:t>不可抗力风险是指合同一方无法控制，在签订合同前无法合理防范，情况发生时，又无法回避或克服的事件或情况，如:自然灾害或事故、战争、禁运等。</w:t>
      </w:r>
    </w:p>
    <w:p>
      <w:pPr>
        <w:pStyle w:val="4"/>
        <w:ind w:firstLine="562"/>
      </w:pPr>
      <w:bookmarkStart w:id="54" w:name="_Toc468088608"/>
      <w:r>
        <w:t>2.1.5 移交风险</w:t>
      </w:r>
      <w:bookmarkEnd w:id="54"/>
    </w:p>
    <w:p>
      <w:pPr>
        <w:ind w:firstLine="560"/>
      </w:pPr>
      <w:r>
        <w:t>政府部门和社会资本在合作期结束后，应将项目资产移交给政府部门，对于移交的资产质量上是否存在瑕疵或性能不全，移交手续受到权属变更、税收、政策变更等障碍，导致移交时产生较大分歧产生移交风险。</w:t>
      </w:r>
    </w:p>
    <w:p>
      <w:pPr>
        <w:pStyle w:val="4"/>
        <w:ind w:firstLine="562"/>
      </w:pPr>
      <w:bookmarkStart w:id="55" w:name="_Toc468088609"/>
      <w:r>
        <w:t>2.1.6 金融风险</w:t>
      </w:r>
      <w:bookmarkEnd w:id="55"/>
    </w:p>
    <w:p>
      <w:pPr>
        <w:ind w:firstLine="560"/>
      </w:pPr>
      <w:r>
        <w:t>金融风险主要包括利率、汇率、通胀等金融变量变动引发的风险，这类风险贯穿于整个项目生命周期。</w:t>
      </w:r>
    </w:p>
    <w:p>
      <w:pPr>
        <w:pStyle w:val="3"/>
        <w:ind w:firstLine="562"/>
        <w:rPr>
          <w:rFonts w:ascii="Times New Roman" w:hAnsi="Times New Roman"/>
          <w:szCs w:val="28"/>
        </w:rPr>
      </w:pPr>
      <w:bookmarkStart w:id="56" w:name="_Toc5443"/>
      <w:bookmarkStart w:id="57" w:name="_Toc468088610"/>
      <w:r>
        <w:rPr>
          <w:rFonts w:ascii="Times New Roman" w:hAnsi="Times New Roman"/>
          <w:szCs w:val="28"/>
        </w:rPr>
        <w:t>2.2 风险分配</w:t>
      </w:r>
      <w:bookmarkEnd w:id="56"/>
      <w:bookmarkEnd w:id="57"/>
    </w:p>
    <w:p>
      <w:pPr>
        <w:ind w:firstLine="560"/>
        <w:rPr>
          <w:rFonts w:ascii="Times New Roman" w:hAnsi="Times New Roman"/>
          <w:szCs w:val="28"/>
        </w:rPr>
      </w:pPr>
      <w:r>
        <w:rPr>
          <w:rFonts w:ascii="Times New Roman" w:hAnsi="Times New Roman"/>
          <w:szCs w:val="28"/>
        </w:rPr>
        <w:t>本项目遵循“风险由最适宜的一方来承担”的原则，按照风险分配优化、风险收益对等和风险可控等原则，综合考虑政府风险管理能力、项目回报机制和市场风险管理能力等要素，在政府和社会资本间合理分配项目风险。明确合同当事人之间的权利义务关系，以确保PPP项目顺利实施和实现物有所值。本项目风险分配的基本原则：</w:t>
      </w:r>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承担风险的一方应该对该风险具有控制力；</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承担风险的一方能够将该风险合理转移；</w:t>
      </w:r>
    </w:p>
    <w:p>
      <w:pPr>
        <w:ind w:firstLine="560"/>
        <w:rPr>
          <w:rFonts w:ascii="Times New Roman" w:hAnsi="Times New Roman"/>
          <w:szCs w:val="28"/>
        </w:rPr>
      </w:pPr>
      <w:r>
        <w:rPr>
          <w:rFonts w:hint="eastAsia" w:ascii="Times New Roman" w:hAnsi="Times New Roman"/>
          <w:szCs w:val="28"/>
        </w:rPr>
        <w:t>（3）</w:t>
      </w:r>
      <w:r>
        <w:rPr>
          <w:rFonts w:ascii="Times New Roman" w:hAnsi="Times New Roman"/>
          <w:szCs w:val="28"/>
        </w:rPr>
        <w:t>承担风险的一方对于控制该风险有更大的经济利益或动机；</w:t>
      </w:r>
    </w:p>
    <w:p>
      <w:pPr>
        <w:ind w:firstLine="560"/>
        <w:rPr>
          <w:rFonts w:ascii="Times New Roman" w:hAnsi="Times New Roman"/>
          <w:szCs w:val="28"/>
        </w:rPr>
      </w:pPr>
      <w:r>
        <w:rPr>
          <w:rFonts w:hint="eastAsia" w:ascii="Times New Roman" w:hAnsi="Times New Roman"/>
          <w:szCs w:val="28"/>
        </w:rPr>
        <w:t>（4）</w:t>
      </w:r>
      <w:r>
        <w:rPr>
          <w:rFonts w:ascii="Times New Roman" w:hAnsi="Times New Roman"/>
          <w:szCs w:val="28"/>
        </w:rPr>
        <w:t>承担风险的一方应是承担该风险最有效率；</w:t>
      </w:r>
    </w:p>
    <w:p>
      <w:pPr>
        <w:ind w:firstLine="560"/>
      </w:pPr>
      <w:r>
        <w:rPr>
          <w:rFonts w:hint="eastAsia" w:ascii="Times New Roman" w:hAnsi="Times New Roman"/>
          <w:szCs w:val="28"/>
        </w:rPr>
        <w:t>（5）</w:t>
      </w:r>
      <w:r>
        <w:rPr>
          <w:rFonts w:ascii="Times New Roman" w:hAnsi="Times New Roman"/>
          <w:szCs w:val="28"/>
        </w:rPr>
        <w:t>如果风险最终发生，承担风险的一方不应将由此产生的费用和损失转移给合同相对方。</w:t>
      </w:r>
    </w:p>
    <w:p>
      <w:pPr>
        <w:ind w:firstLine="562"/>
        <w:jc w:val="center"/>
        <w:rPr>
          <w:rFonts w:ascii="宋体" w:hAnsi="宋体" w:cs="宋体"/>
          <w:b/>
          <w:bCs/>
          <w:kern w:val="0"/>
          <w:szCs w:val="28"/>
        </w:rPr>
      </w:pPr>
      <w:r>
        <w:rPr>
          <w:rFonts w:hint="eastAsia" w:ascii="宋体" w:hAnsi="宋体" w:cs="宋体"/>
          <w:b/>
          <w:bCs/>
          <w:kern w:val="0"/>
          <w:szCs w:val="28"/>
        </w:rPr>
        <w:t>项目风险分配矩阵</w:t>
      </w:r>
    </w:p>
    <w:tbl>
      <w:tblPr>
        <w:tblStyle w:val="22"/>
        <w:tblW w:w="8342" w:type="dxa"/>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889"/>
        <w:gridCol w:w="1339"/>
        <w:gridCol w:w="2368"/>
        <w:gridCol w:w="1248"/>
        <w:gridCol w:w="1248"/>
        <w:gridCol w:w="1250"/>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blHeader/>
        </w:trPr>
        <w:tc>
          <w:tcPr>
            <w:tcW w:w="889" w:type="dxa"/>
            <w:tcBorders>
              <w:top w:val="double" w:color="000000" w:sz="4" w:space="0"/>
            </w:tcBorders>
            <w:shd w:val="clear" w:color="auto" w:fill="FBE5D6"/>
            <w:vAlign w:val="center"/>
          </w:tcPr>
          <w:p>
            <w:pPr>
              <w:pStyle w:val="88"/>
            </w:pPr>
            <w:r>
              <w:t>序号</w:t>
            </w:r>
          </w:p>
        </w:tc>
        <w:tc>
          <w:tcPr>
            <w:tcW w:w="3707" w:type="dxa"/>
            <w:gridSpan w:val="2"/>
            <w:tcBorders>
              <w:top w:val="double" w:color="000000" w:sz="4" w:space="0"/>
            </w:tcBorders>
            <w:shd w:val="clear" w:color="auto" w:fill="FBE5D6"/>
            <w:vAlign w:val="center"/>
          </w:tcPr>
          <w:p>
            <w:pPr>
              <w:pStyle w:val="88"/>
            </w:pPr>
            <w:r>
              <w:t>风险类别</w:t>
            </w:r>
          </w:p>
        </w:tc>
        <w:tc>
          <w:tcPr>
            <w:tcW w:w="1248" w:type="dxa"/>
            <w:tcBorders>
              <w:top w:val="double" w:color="000000" w:sz="4" w:space="0"/>
            </w:tcBorders>
            <w:shd w:val="clear" w:color="auto" w:fill="FBE5D6"/>
            <w:vAlign w:val="center"/>
          </w:tcPr>
          <w:p>
            <w:pPr>
              <w:pStyle w:val="88"/>
            </w:pPr>
            <w:r>
              <w:t>共同承担</w:t>
            </w:r>
          </w:p>
        </w:tc>
        <w:tc>
          <w:tcPr>
            <w:tcW w:w="1248" w:type="dxa"/>
            <w:tcBorders>
              <w:top w:val="double" w:color="000000" w:sz="4" w:space="0"/>
            </w:tcBorders>
            <w:shd w:val="clear" w:color="auto" w:fill="FBE5D6"/>
            <w:vAlign w:val="center"/>
          </w:tcPr>
          <w:p>
            <w:pPr>
              <w:pStyle w:val="88"/>
            </w:pPr>
            <w:r>
              <w:t>政府承担</w:t>
            </w:r>
          </w:p>
        </w:tc>
        <w:tc>
          <w:tcPr>
            <w:tcW w:w="1250" w:type="dxa"/>
            <w:tcBorders>
              <w:top w:val="double" w:color="000000" w:sz="4" w:space="0"/>
            </w:tcBorders>
            <w:shd w:val="clear" w:color="auto" w:fill="FBE5D6"/>
            <w:vAlign w:val="center"/>
          </w:tcPr>
          <w:p>
            <w:pPr>
              <w:pStyle w:val="88"/>
            </w:pPr>
            <w:r>
              <w:t>项目公司承担</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restart"/>
            <w:vAlign w:val="center"/>
          </w:tcPr>
          <w:p>
            <w:pPr>
              <w:pStyle w:val="88"/>
            </w:pPr>
            <w:r>
              <w:rPr>
                <w:rFonts w:hint="eastAsia"/>
              </w:rPr>
              <w:t>1</w:t>
            </w:r>
          </w:p>
        </w:tc>
        <w:tc>
          <w:tcPr>
            <w:tcW w:w="1339" w:type="dxa"/>
            <w:vMerge w:val="restart"/>
            <w:vAlign w:val="center"/>
          </w:tcPr>
          <w:p>
            <w:pPr>
              <w:pStyle w:val="88"/>
            </w:pPr>
            <w:r>
              <w:t>政策风险</w:t>
            </w:r>
          </w:p>
        </w:tc>
        <w:tc>
          <w:tcPr>
            <w:tcW w:w="2368" w:type="dxa"/>
            <w:vAlign w:val="center"/>
          </w:tcPr>
          <w:p>
            <w:pPr>
              <w:pStyle w:val="88"/>
            </w:pPr>
            <w:r>
              <w:t>审批延误</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c>
          <w:tcPr>
            <w:tcW w:w="1250" w:type="dxa"/>
            <w:vAlign w:val="center"/>
          </w:tcPr>
          <w:p>
            <w:pPr>
              <w:pStyle w:val="88"/>
              <w:rPr>
                <w:rFonts w:ascii="微软雅黑" w:hAnsi="微软雅黑" w:eastAsia="微软雅黑" w:cs="微软雅黑"/>
                <w:b/>
                <w:bCs/>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vAlign w:val="center"/>
          </w:tcPr>
          <w:p>
            <w:pPr>
              <w:pStyle w:val="88"/>
            </w:pPr>
            <w:r>
              <w:t>政治决策失误/冗长</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c>
          <w:tcPr>
            <w:tcW w:w="1250" w:type="dxa"/>
            <w:vAlign w:val="center"/>
          </w:tcPr>
          <w:p>
            <w:pPr>
              <w:pStyle w:val="88"/>
              <w:rPr>
                <w:rFonts w:ascii="微软雅黑" w:hAnsi="微软雅黑" w:eastAsia="微软雅黑" w:cs="微软雅黑"/>
                <w:b/>
                <w:bCs/>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vAlign w:val="center"/>
          </w:tcPr>
          <w:p>
            <w:pPr>
              <w:pStyle w:val="88"/>
            </w:pPr>
            <w:r>
              <w:t>政治反对</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c>
          <w:tcPr>
            <w:tcW w:w="1250" w:type="dxa"/>
            <w:vAlign w:val="center"/>
          </w:tcPr>
          <w:p>
            <w:pPr>
              <w:pStyle w:val="88"/>
              <w:rPr>
                <w:rFonts w:ascii="微软雅黑" w:hAnsi="微软雅黑" w:eastAsia="微软雅黑" w:cs="微软雅黑"/>
                <w:b/>
                <w:bCs/>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vAlign w:val="center"/>
          </w:tcPr>
          <w:p>
            <w:pPr>
              <w:pStyle w:val="88"/>
            </w:pPr>
            <w:r>
              <w:t>政府信用</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c>
          <w:tcPr>
            <w:tcW w:w="1250" w:type="dxa"/>
            <w:vAlign w:val="center"/>
          </w:tcPr>
          <w:p>
            <w:pPr>
              <w:pStyle w:val="88"/>
              <w:rPr>
                <w:rFonts w:ascii="微软雅黑" w:hAnsi="微软雅黑" w:eastAsia="微软雅黑" w:cs="微软雅黑"/>
                <w:b/>
                <w:bCs/>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vAlign w:val="center"/>
          </w:tcPr>
          <w:p>
            <w:pPr>
              <w:pStyle w:val="88"/>
            </w:pPr>
            <w:r>
              <w:t>税收优惠变化</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c>
          <w:tcPr>
            <w:tcW w:w="1250" w:type="dxa"/>
            <w:vAlign w:val="center"/>
          </w:tcPr>
          <w:p>
            <w:pPr>
              <w:pStyle w:val="88"/>
              <w:rPr>
                <w:rFonts w:ascii="微软雅黑" w:hAnsi="微软雅黑" w:eastAsia="微软雅黑" w:cs="微软雅黑"/>
                <w:b/>
                <w:bCs/>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vAlign w:val="center"/>
          </w:tcPr>
          <w:p>
            <w:pPr>
              <w:pStyle w:val="88"/>
            </w:pPr>
            <w:r>
              <w:t>环境标准提高</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c>
          <w:tcPr>
            <w:tcW w:w="1250" w:type="dxa"/>
            <w:vAlign w:val="center"/>
          </w:tcPr>
          <w:p>
            <w:pPr>
              <w:pStyle w:val="88"/>
              <w:rPr>
                <w:rFonts w:ascii="微软雅黑" w:hAnsi="微软雅黑" w:eastAsia="微软雅黑" w:cs="微软雅黑"/>
                <w:b/>
                <w:bCs/>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Align w:val="center"/>
          </w:tcPr>
          <w:p>
            <w:pPr>
              <w:pStyle w:val="88"/>
            </w:pPr>
            <w:r>
              <w:rPr>
                <w:rFonts w:hint="eastAsia"/>
              </w:rPr>
              <w:t>2</w:t>
            </w:r>
          </w:p>
        </w:tc>
        <w:tc>
          <w:tcPr>
            <w:tcW w:w="1339" w:type="dxa"/>
            <w:vAlign w:val="center"/>
          </w:tcPr>
          <w:p>
            <w:pPr>
              <w:pStyle w:val="88"/>
            </w:pPr>
            <w:r>
              <w:t>法律风险</w:t>
            </w:r>
          </w:p>
        </w:tc>
        <w:tc>
          <w:tcPr>
            <w:tcW w:w="2368" w:type="dxa"/>
            <w:vAlign w:val="center"/>
          </w:tcPr>
          <w:p>
            <w:pPr>
              <w:pStyle w:val="88"/>
            </w:pPr>
            <w:r>
              <w:t>法律变化</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c>
          <w:tcPr>
            <w:tcW w:w="1250" w:type="dxa"/>
            <w:vAlign w:val="center"/>
          </w:tcPr>
          <w:p>
            <w:pPr>
              <w:pStyle w:val="88"/>
              <w:rPr>
                <w:rFonts w:ascii="微软雅黑" w:hAnsi="微软雅黑" w:eastAsia="微软雅黑" w:cs="微软雅黑"/>
                <w:b/>
                <w:bCs/>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restart"/>
            <w:vAlign w:val="center"/>
          </w:tcPr>
          <w:p>
            <w:pPr>
              <w:pStyle w:val="88"/>
            </w:pPr>
            <w:r>
              <w:rPr>
                <w:rFonts w:hint="eastAsia"/>
              </w:rPr>
              <w:t>3</w:t>
            </w:r>
          </w:p>
        </w:tc>
        <w:tc>
          <w:tcPr>
            <w:tcW w:w="1339" w:type="dxa"/>
            <w:vMerge w:val="restart"/>
            <w:vAlign w:val="center"/>
          </w:tcPr>
          <w:p>
            <w:pPr>
              <w:pStyle w:val="88"/>
            </w:pPr>
            <w:r>
              <w:rPr>
                <w:rFonts w:hint="eastAsia"/>
              </w:rPr>
              <w:t>建设风险</w:t>
            </w:r>
          </w:p>
        </w:tc>
        <w:tc>
          <w:tcPr>
            <w:tcW w:w="2368" w:type="dxa"/>
            <w:shd w:val="clear" w:color="auto" w:fill="FFFFFF"/>
            <w:vAlign w:val="center"/>
          </w:tcPr>
          <w:p>
            <w:pPr>
              <w:pStyle w:val="88"/>
            </w:pPr>
            <w:r>
              <w:t>因征地原因形成工期延误，造成投资增加</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c>
          <w:tcPr>
            <w:tcW w:w="1250" w:type="dxa"/>
            <w:vAlign w:val="center"/>
          </w:tcPr>
          <w:p>
            <w:pPr>
              <w:pStyle w:val="88"/>
              <w:rPr>
                <w:rFonts w:ascii="微软雅黑" w:hAnsi="微软雅黑" w:eastAsia="微软雅黑" w:cs="微软雅黑"/>
                <w:b/>
                <w:bCs/>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shd w:val="clear" w:color="auto" w:fill="FFFFFF"/>
            <w:vAlign w:val="center"/>
          </w:tcPr>
          <w:p>
            <w:pPr>
              <w:pStyle w:val="88"/>
            </w:pPr>
            <w:r>
              <w:t>工程建设质量</w:t>
            </w:r>
            <w:r>
              <w:rPr>
                <w:rFonts w:hint="eastAsia"/>
              </w:rPr>
              <w:t>缺陷</w:t>
            </w:r>
            <w:r>
              <w:t>，有安全隐患或不能满足政府要求</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shd w:val="clear" w:color="auto" w:fill="FFFFFF"/>
            <w:vAlign w:val="center"/>
          </w:tcPr>
          <w:p>
            <w:pPr>
              <w:pStyle w:val="88"/>
            </w:pPr>
            <w:r>
              <w:t>材料和人工价格上涨</w:t>
            </w:r>
            <w:r>
              <w:rPr>
                <w:rFonts w:hint="eastAsia"/>
              </w:rPr>
              <w:t>导致</w:t>
            </w:r>
            <w:r>
              <w:t>投资</w:t>
            </w:r>
            <w:r>
              <w:rPr>
                <w:rFonts w:hint="eastAsia"/>
              </w:rPr>
              <w:t>增加</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shd w:val="clear" w:color="auto" w:fill="FFFFFF"/>
            <w:vAlign w:val="center"/>
          </w:tcPr>
          <w:p>
            <w:pPr>
              <w:pStyle w:val="88"/>
            </w:pPr>
            <w:r>
              <w:t>劳资、设备获取风险</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shd w:val="clear" w:color="auto" w:fill="FFFFFF"/>
            <w:vAlign w:val="center"/>
          </w:tcPr>
          <w:p>
            <w:pPr>
              <w:pStyle w:val="88"/>
            </w:pPr>
            <w:r>
              <w:t>分包商违约</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shd w:val="clear" w:color="auto" w:fill="FFFFFF"/>
            <w:vAlign w:val="center"/>
          </w:tcPr>
          <w:p>
            <w:pPr>
              <w:pStyle w:val="88"/>
            </w:pPr>
            <w:r>
              <w:t>施工方案不当</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shd w:val="clear" w:color="auto" w:fill="FFFFFF"/>
            <w:vAlign w:val="center"/>
          </w:tcPr>
          <w:p>
            <w:pPr>
              <w:pStyle w:val="88"/>
            </w:pPr>
            <w:r>
              <w:rPr>
                <w:rFonts w:hint="eastAsia"/>
              </w:rPr>
              <w:t>施工现场</w:t>
            </w:r>
            <w:r>
              <w:t>安全</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shd w:val="clear" w:color="auto" w:fill="FFFFFF"/>
            <w:vAlign w:val="center"/>
          </w:tcPr>
          <w:p>
            <w:pPr>
              <w:pStyle w:val="88"/>
            </w:pPr>
            <w:r>
              <w:rPr>
                <w:rFonts w:hint="eastAsia"/>
              </w:rPr>
              <w:t>社会资本原因工期拖延</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restart"/>
            <w:vAlign w:val="center"/>
          </w:tcPr>
          <w:p>
            <w:pPr>
              <w:pStyle w:val="88"/>
            </w:pPr>
            <w:r>
              <w:rPr>
                <w:rFonts w:hint="eastAsia"/>
              </w:rPr>
              <w:t>4</w:t>
            </w:r>
          </w:p>
        </w:tc>
        <w:tc>
          <w:tcPr>
            <w:tcW w:w="1339" w:type="dxa"/>
            <w:vMerge w:val="restart"/>
            <w:vAlign w:val="center"/>
          </w:tcPr>
          <w:p>
            <w:pPr>
              <w:pStyle w:val="88"/>
            </w:pPr>
            <w:r>
              <w:t>经营风险</w:t>
            </w:r>
          </w:p>
        </w:tc>
        <w:tc>
          <w:tcPr>
            <w:tcW w:w="2368" w:type="dxa"/>
            <w:vAlign w:val="center"/>
          </w:tcPr>
          <w:p>
            <w:pPr>
              <w:pStyle w:val="88"/>
            </w:pPr>
            <w:r>
              <w:t>成本上涨</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vAlign w:val="center"/>
          </w:tcPr>
          <w:p>
            <w:pPr>
              <w:pStyle w:val="88"/>
            </w:pPr>
            <w:r>
              <w:t>补助后收益不足</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vAlign w:val="center"/>
          </w:tcPr>
          <w:p>
            <w:pPr>
              <w:pStyle w:val="88"/>
            </w:pPr>
            <w:r>
              <w:t>加工设备维护不力</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vAlign w:val="center"/>
          </w:tcPr>
          <w:p>
            <w:pPr>
              <w:pStyle w:val="88"/>
            </w:pPr>
            <w:r>
              <w:t>效率低下</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vAlign w:val="center"/>
          </w:tcPr>
          <w:p>
            <w:pPr>
              <w:pStyle w:val="88"/>
            </w:pPr>
            <w:r>
              <w:t>设备质量</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vAlign w:val="center"/>
          </w:tcPr>
          <w:p>
            <w:pPr>
              <w:pStyle w:val="88"/>
            </w:pPr>
            <w:r>
              <w:t>粮食储备条件变化</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restart"/>
            <w:vAlign w:val="center"/>
          </w:tcPr>
          <w:p>
            <w:pPr>
              <w:pStyle w:val="88"/>
            </w:pPr>
            <w:r>
              <w:rPr>
                <w:rFonts w:hint="eastAsia"/>
              </w:rPr>
              <w:t>5</w:t>
            </w:r>
          </w:p>
        </w:tc>
        <w:tc>
          <w:tcPr>
            <w:tcW w:w="1339" w:type="dxa"/>
            <w:vMerge w:val="restart"/>
            <w:vAlign w:val="center"/>
          </w:tcPr>
          <w:p>
            <w:pPr>
              <w:pStyle w:val="88"/>
            </w:pPr>
            <w:r>
              <w:t>市场风险</w:t>
            </w:r>
          </w:p>
        </w:tc>
        <w:tc>
          <w:tcPr>
            <w:tcW w:w="2368" w:type="dxa"/>
            <w:vAlign w:val="center"/>
          </w:tcPr>
          <w:p>
            <w:pPr>
              <w:pStyle w:val="88"/>
            </w:pPr>
            <w:r>
              <w:t>融资风险</w:t>
            </w:r>
          </w:p>
        </w:tc>
        <w:tc>
          <w:tcPr>
            <w:tcW w:w="1248" w:type="dxa"/>
            <w:vAlign w:val="center"/>
          </w:tcPr>
          <w:p>
            <w:pPr>
              <w:pStyle w:val="88"/>
              <w:rPr>
                <w:rFonts w:ascii="微软雅黑" w:hAnsi="微软雅黑" w:eastAsia="微软雅黑" w:cs="微软雅黑"/>
                <w:b/>
                <w:bCs/>
              </w:rPr>
            </w:pP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vAlign w:val="center"/>
          </w:tcPr>
          <w:p>
            <w:pPr>
              <w:pStyle w:val="88"/>
            </w:pPr>
            <w:r>
              <w:t>通货膨胀</w:t>
            </w:r>
          </w:p>
        </w:tc>
        <w:tc>
          <w:tcPr>
            <w:tcW w:w="1248"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vMerge w:val="continue"/>
            <w:vAlign w:val="center"/>
          </w:tcPr>
          <w:p>
            <w:pPr>
              <w:pStyle w:val="88"/>
            </w:pPr>
          </w:p>
        </w:tc>
        <w:tc>
          <w:tcPr>
            <w:tcW w:w="1339" w:type="dxa"/>
            <w:vMerge w:val="continue"/>
            <w:vAlign w:val="center"/>
          </w:tcPr>
          <w:p>
            <w:pPr>
              <w:pStyle w:val="88"/>
            </w:pPr>
          </w:p>
        </w:tc>
        <w:tc>
          <w:tcPr>
            <w:tcW w:w="2368" w:type="dxa"/>
            <w:vAlign w:val="center"/>
          </w:tcPr>
          <w:p>
            <w:pPr>
              <w:pStyle w:val="88"/>
            </w:pPr>
            <w:r>
              <w:t>基准利率变化</w:t>
            </w:r>
          </w:p>
        </w:tc>
        <w:tc>
          <w:tcPr>
            <w:tcW w:w="1248" w:type="dxa"/>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c>
          <w:tcPr>
            <w:tcW w:w="1248" w:type="dxa"/>
            <w:vAlign w:val="center"/>
          </w:tcPr>
          <w:p>
            <w:pPr>
              <w:pStyle w:val="88"/>
              <w:rPr>
                <w:rFonts w:ascii="微软雅黑" w:hAnsi="微软雅黑" w:eastAsia="微软雅黑" w:cs="微软雅黑"/>
                <w:b/>
                <w:bCs/>
              </w:rPr>
            </w:pPr>
          </w:p>
        </w:tc>
        <w:tc>
          <w:tcPr>
            <w:tcW w:w="1250" w:type="dxa"/>
            <w:vAlign w:val="center"/>
          </w:tcPr>
          <w:p>
            <w:pPr>
              <w:pStyle w:val="88"/>
              <w:rPr>
                <w:rFonts w:ascii="微软雅黑" w:hAnsi="微软雅黑" w:eastAsia="微软雅黑" w:cs="微软雅黑"/>
                <w:b/>
                <w:bCs/>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889" w:type="dxa"/>
            <w:tcBorders>
              <w:bottom w:val="double" w:color="000000" w:sz="4" w:space="0"/>
            </w:tcBorders>
            <w:vAlign w:val="center"/>
          </w:tcPr>
          <w:p>
            <w:pPr>
              <w:pStyle w:val="88"/>
            </w:pPr>
            <w:r>
              <w:rPr>
                <w:rFonts w:hint="eastAsia"/>
              </w:rPr>
              <w:t>6</w:t>
            </w:r>
          </w:p>
        </w:tc>
        <w:tc>
          <w:tcPr>
            <w:tcW w:w="1339" w:type="dxa"/>
            <w:tcBorders>
              <w:bottom w:val="double" w:color="000000" w:sz="4" w:space="0"/>
            </w:tcBorders>
            <w:vAlign w:val="center"/>
          </w:tcPr>
          <w:p>
            <w:pPr>
              <w:pStyle w:val="88"/>
            </w:pPr>
            <w:r>
              <w:t>不可抗力</w:t>
            </w:r>
          </w:p>
        </w:tc>
        <w:tc>
          <w:tcPr>
            <w:tcW w:w="2368" w:type="dxa"/>
            <w:tcBorders>
              <w:bottom w:val="double" w:color="000000" w:sz="4" w:space="0"/>
            </w:tcBorders>
            <w:vAlign w:val="center"/>
          </w:tcPr>
          <w:p>
            <w:pPr>
              <w:pStyle w:val="88"/>
            </w:pPr>
            <w:r>
              <w:t>火灾、战争、瘟疫等</w:t>
            </w:r>
          </w:p>
        </w:tc>
        <w:tc>
          <w:tcPr>
            <w:tcW w:w="1248" w:type="dxa"/>
            <w:tcBorders>
              <w:bottom w:val="double" w:color="000000" w:sz="4" w:space="0"/>
            </w:tcBorders>
            <w:vAlign w:val="center"/>
          </w:tcPr>
          <w:p>
            <w:pPr>
              <w:pStyle w:val="88"/>
              <w:rPr>
                <w:rFonts w:ascii="微软雅黑" w:hAnsi="微软雅黑" w:eastAsia="微软雅黑" w:cs="微软雅黑"/>
                <w:b/>
                <w:bCs/>
              </w:rPr>
            </w:pPr>
            <w:r>
              <w:rPr>
                <w:rFonts w:hint="eastAsia" w:ascii="微软雅黑" w:hAnsi="微软雅黑" w:eastAsia="微软雅黑" w:cs="微软雅黑"/>
                <w:b/>
                <w:bCs/>
              </w:rPr>
              <w:t>√</w:t>
            </w:r>
          </w:p>
        </w:tc>
        <w:tc>
          <w:tcPr>
            <w:tcW w:w="1248" w:type="dxa"/>
            <w:tcBorders>
              <w:bottom w:val="double" w:color="000000" w:sz="4" w:space="0"/>
            </w:tcBorders>
            <w:vAlign w:val="center"/>
          </w:tcPr>
          <w:p>
            <w:pPr>
              <w:pStyle w:val="88"/>
              <w:rPr>
                <w:rFonts w:ascii="微软雅黑" w:hAnsi="微软雅黑" w:eastAsia="微软雅黑" w:cs="微软雅黑"/>
                <w:b/>
                <w:bCs/>
              </w:rPr>
            </w:pPr>
          </w:p>
        </w:tc>
        <w:tc>
          <w:tcPr>
            <w:tcW w:w="1250" w:type="dxa"/>
            <w:tcBorders>
              <w:bottom w:val="double" w:color="000000" w:sz="4" w:space="0"/>
            </w:tcBorders>
            <w:vAlign w:val="center"/>
          </w:tcPr>
          <w:p>
            <w:pPr>
              <w:pStyle w:val="88"/>
              <w:rPr>
                <w:rFonts w:ascii="微软雅黑" w:hAnsi="微软雅黑" w:eastAsia="微软雅黑" w:cs="微软雅黑"/>
                <w:b/>
                <w:bCs/>
              </w:rPr>
            </w:pPr>
          </w:p>
        </w:tc>
      </w:tr>
    </w:tbl>
    <w:p>
      <w:pPr>
        <w:pStyle w:val="3"/>
        <w:ind w:firstLine="562"/>
        <w:rPr>
          <w:rFonts w:ascii="Times New Roman" w:hAnsi="Times New Roman"/>
          <w:szCs w:val="28"/>
        </w:rPr>
      </w:pPr>
      <w:bookmarkStart w:id="58" w:name="_Toc468088611"/>
      <w:bookmarkStart w:id="59" w:name="_Toc32500"/>
      <w:r>
        <w:rPr>
          <w:rFonts w:ascii="Times New Roman" w:hAnsi="Times New Roman"/>
          <w:szCs w:val="28"/>
        </w:rPr>
        <w:t>2.3 风险管控</w:t>
      </w:r>
      <w:bookmarkEnd w:id="58"/>
      <w:bookmarkEnd w:id="59"/>
    </w:p>
    <w:p>
      <w:pPr>
        <w:ind w:firstLine="560"/>
        <w:rPr>
          <w:rFonts w:ascii="Times New Roman" w:hAnsi="Times New Roman"/>
          <w:b/>
          <w:bCs/>
          <w:szCs w:val="28"/>
        </w:rPr>
      </w:pPr>
      <w:r>
        <w:rPr>
          <w:rFonts w:ascii="Times New Roman" w:hAnsi="Times New Roman"/>
          <w:szCs w:val="28"/>
        </w:rPr>
        <w:t>政府和社会资本应正确认识风险的存在，提高对风险的防范意识，加强项目前期工作，及时发现问题，针对PPP项目合同期内可能产生的各种风险进行识别、衡量、分析、评价，并主动采取风险防范管控措施。具体实施时可采取风险控制、风险转移、风险回避、风险自留等方式进行风险管控。</w:t>
      </w:r>
    </w:p>
    <w:p>
      <w:pPr>
        <w:pStyle w:val="4"/>
        <w:ind w:firstLine="562"/>
      </w:pPr>
      <w:bookmarkStart w:id="60" w:name="_Toc31958"/>
      <w:bookmarkStart w:id="61" w:name="_Toc468088612"/>
      <w:r>
        <w:t>2.3.1 风险控制</w:t>
      </w:r>
      <w:bookmarkEnd w:id="60"/>
      <w:bookmarkEnd w:id="61"/>
    </w:p>
    <w:p>
      <w:pPr>
        <w:ind w:firstLine="560"/>
        <w:rPr>
          <w:rFonts w:ascii="Times New Roman" w:hAnsi="Times New Roman"/>
          <w:szCs w:val="28"/>
        </w:rPr>
      </w:pPr>
      <w:r>
        <w:rPr>
          <w:rFonts w:ascii="Times New Roman" w:hAnsi="Times New Roman"/>
          <w:szCs w:val="28"/>
        </w:rPr>
        <w:t>风险控制指采取一种主动、积极的风险对策，可采取的措施有：</w:t>
      </w:r>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提高项目的针对性，采取确保重点、兼顾一般的原则，保障项目的有序开展，合理安排资金，降低融资风险。</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加强和完善项目招投标工作和合同管理工作，选好施工单位，化解工程风险和外部协作条件风险。</w:t>
      </w:r>
    </w:p>
    <w:p>
      <w:pPr>
        <w:ind w:firstLine="560"/>
        <w:rPr>
          <w:rFonts w:ascii="Times New Roman" w:hAnsi="Times New Roman"/>
          <w:szCs w:val="28"/>
        </w:rPr>
      </w:pPr>
      <w:r>
        <w:rPr>
          <w:rFonts w:hint="eastAsia" w:ascii="Times New Roman" w:hAnsi="Times New Roman"/>
          <w:szCs w:val="28"/>
        </w:rPr>
        <w:t>（3）</w:t>
      </w:r>
      <w:r>
        <w:rPr>
          <w:rFonts w:ascii="Times New Roman" w:hAnsi="Times New Roman"/>
          <w:szCs w:val="28"/>
        </w:rPr>
        <w:t>严格实行监理制度，避免工程质量与设计不当带来的风险。</w:t>
      </w:r>
    </w:p>
    <w:p>
      <w:pPr>
        <w:ind w:firstLine="560"/>
        <w:rPr>
          <w:rFonts w:ascii="Times New Roman" w:hAnsi="Times New Roman"/>
          <w:szCs w:val="28"/>
        </w:rPr>
      </w:pPr>
      <w:r>
        <w:rPr>
          <w:rFonts w:hint="eastAsia" w:ascii="Times New Roman" w:hAnsi="Times New Roman"/>
          <w:szCs w:val="28"/>
        </w:rPr>
        <w:t>（4）</w:t>
      </w:r>
      <w:r>
        <w:rPr>
          <w:rFonts w:ascii="Times New Roman" w:hAnsi="Times New Roman"/>
          <w:szCs w:val="28"/>
        </w:rPr>
        <w:t>完善配套设施，交通、消防、卫生要符合粮库建设标准，避免消防安全及卫生等风险。</w:t>
      </w:r>
    </w:p>
    <w:p>
      <w:pPr>
        <w:ind w:firstLine="560"/>
        <w:rPr>
          <w:rFonts w:ascii="Times New Roman" w:hAnsi="Times New Roman"/>
          <w:szCs w:val="28"/>
        </w:rPr>
      </w:pPr>
      <w:r>
        <w:rPr>
          <w:rFonts w:hint="eastAsia" w:ascii="Times New Roman" w:hAnsi="Times New Roman"/>
          <w:szCs w:val="28"/>
        </w:rPr>
        <w:t>（5）</w:t>
      </w:r>
      <w:r>
        <w:rPr>
          <w:rFonts w:ascii="Times New Roman" w:hAnsi="Times New Roman"/>
          <w:szCs w:val="28"/>
        </w:rPr>
        <w:t>科学制定项目运营管理流程，严格按流程规范操作，提高服务水平和管理水平。</w:t>
      </w:r>
    </w:p>
    <w:p>
      <w:pPr>
        <w:ind w:firstLine="560"/>
        <w:rPr>
          <w:rFonts w:ascii="Times New Roman" w:hAnsi="Times New Roman"/>
          <w:b/>
          <w:bCs/>
          <w:szCs w:val="28"/>
        </w:rPr>
      </w:pPr>
      <w:r>
        <w:rPr>
          <w:rFonts w:hint="eastAsia" w:ascii="Times New Roman" w:hAnsi="Times New Roman"/>
          <w:szCs w:val="28"/>
        </w:rPr>
        <w:t>（6）</w:t>
      </w:r>
      <w:r>
        <w:rPr>
          <w:rFonts w:ascii="Times New Roman" w:hAnsi="Times New Roman"/>
          <w:szCs w:val="28"/>
        </w:rPr>
        <w:t>加强物资、耗材的采购管理，降低运营成本。</w:t>
      </w:r>
    </w:p>
    <w:p>
      <w:pPr>
        <w:pStyle w:val="4"/>
        <w:ind w:firstLine="562"/>
      </w:pPr>
      <w:bookmarkStart w:id="62" w:name="_Toc468088613"/>
      <w:bookmarkStart w:id="63" w:name="_Toc24835"/>
      <w:r>
        <w:t>2.3.2 风险转移</w:t>
      </w:r>
      <w:bookmarkEnd w:id="62"/>
      <w:bookmarkEnd w:id="63"/>
    </w:p>
    <w:p>
      <w:pPr>
        <w:ind w:firstLine="560"/>
        <w:rPr>
          <w:rFonts w:ascii="Times New Roman" w:hAnsi="Times New Roman"/>
          <w:szCs w:val="28"/>
        </w:rPr>
      </w:pPr>
      <w:r>
        <w:rPr>
          <w:rFonts w:ascii="Times New Roman" w:hAnsi="Times New Roman"/>
          <w:szCs w:val="28"/>
        </w:rPr>
        <w:t>当有些风险无法回避，而以自身的承受能力又无法有效的承担时，通过某种方式将某些风险的后果连同应对的权利和责任转移给他人。可采取的措施有：</w:t>
      </w:r>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保险转移即参加商业保险，将部分风险转移给保险公司。</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非保险转移即与相关方签订合同，在合同中约定风险分担，将部分风险转移给合同方等。</w:t>
      </w:r>
    </w:p>
    <w:p>
      <w:pPr>
        <w:pStyle w:val="4"/>
        <w:ind w:firstLine="562"/>
      </w:pPr>
      <w:bookmarkStart w:id="64" w:name="_Toc12016"/>
      <w:bookmarkStart w:id="65" w:name="_Toc468088614"/>
      <w:r>
        <w:t>2.3.3 风险回避</w:t>
      </w:r>
      <w:bookmarkEnd w:id="64"/>
      <w:bookmarkEnd w:id="65"/>
    </w:p>
    <w:p>
      <w:pPr>
        <w:ind w:firstLine="560"/>
        <w:rPr>
          <w:rFonts w:ascii="Times New Roman" w:hAnsi="Times New Roman"/>
          <w:szCs w:val="28"/>
        </w:rPr>
      </w:pPr>
      <w:r>
        <w:rPr>
          <w:rFonts w:ascii="Times New Roman" w:hAnsi="Times New Roman"/>
          <w:szCs w:val="28"/>
        </w:rPr>
        <w:t>风险回避是指如果发现某些风险发生的概率很高，而且可能的损失也很大，又没有其他有效的对策来降低风险时，应采取放弃相关计划或改变目标等方法，使其不发生或不再发展，从而避免可能发生的潜在损失。</w:t>
      </w:r>
    </w:p>
    <w:p>
      <w:pPr>
        <w:pStyle w:val="4"/>
        <w:ind w:firstLine="562"/>
      </w:pPr>
      <w:bookmarkStart w:id="66" w:name="_Toc468088615"/>
      <w:bookmarkStart w:id="67" w:name="_Toc23037"/>
      <w:r>
        <w:t>2.3.4 风险自留</w:t>
      </w:r>
      <w:bookmarkEnd w:id="66"/>
      <w:bookmarkEnd w:id="67"/>
    </w:p>
    <w:p>
      <w:pPr>
        <w:ind w:firstLine="560"/>
        <w:rPr>
          <w:rFonts w:ascii="Times New Roman" w:hAnsi="Times New Roman"/>
          <w:szCs w:val="28"/>
        </w:rPr>
      </w:pPr>
      <w:r>
        <w:rPr>
          <w:rFonts w:ascii="Times New Roman" w:hAnsi="Times New Roman"/>
          <w:szCs w:val="28"/>
        </w:rPr>
        <w:t>风险自留是项目风险保留在风险管理主体内部，通过采取内部控制措施等来化解风险。风险自留绝不可能单独运用，而应与其他风险对策结合使用。即对于无法采用以上方法应对的风险，由社会资本和政府合理分担。</w:t>
      </w:r>
    </w:p>
    <w:p>
      <w:pPr>
        <w:pStyle w:val="2"/>
        <w:spacing w:before="240" w:after="240" w:line="560" w:lineRule="exact"/>
        <w:ind w:firstLine="562"/>
        <w:jc w:val="left"/>
        <w:rPr>
          <w:rFonts w:ascii="黑体" w:hAnsi="黑体" w:eastAsia="黑体" w:cs="黑体"/>
          <w:sz w:val="28"/>
          <w:szCs w:val="28"/>
        </w:rPr>
      </w:pPr>
      <w:bookmarkStart w:id="68" w:name="_Toc468088616"/>
      <w:bookmarkStart w:id="69" w:name="_Toc19908"/>
      <w:r>
        <w:rPr>
          <w:rFonts w:hint="eastAsia" w:ascii="黑体" w:hAnsi="黑体" w:eastAsia="黑体" w:cs="黑体"/>
          <w:sz w:val="28"/>
          <w:szCs w:val="28"/>
        </w:rPr>
        <w:t>三、项目运作方式</w:t>
      </w:r>
      <w:bookmarkEnd w:id="68"/>
      <w:bookmarkEnd w:id="69"/>
    </w:p>
    <w:p>
      <w:pPr>
        <w:pStyle w:val="3"/>
        <w:ind w:firstLine="562"/>
        <w:rPr>
          <w:rFonts w:ascii="Times New Roman" w:hAnsi="Times New Roman"/>
          <w:szCs w:val="28"/>
        </w:rPr>
      </w:pPr>
      <w:bookmarkStart w:id="70" w:name="_Toc14680"/>
      <w:bookmarkStart w:id="71" w:name="_Toc468088617"/>
      <w:r>
        <w:rPr>
          <w:rFonts w:ascii="Times New Roman" w:hAnsi="Times New Roman"/>
          <w:szCs w:val="28"/>
        </w:rPr>
        <w:t>3.1 实施机构</w:t>
      </w:r>
      <w:bookmarkEnd w:id="70"/>
      <w:bookmarkEnd w:id="71"/>
    </w:p>
    <w:p>
      <w:pPr>
        <w:ind w:firstLine="560"/>
      </w:pPr>
      <w:r>
        <w:t>本项目由政府发起。</w:t>
      </w:r>
    </w:p>
    <w:p>
      <w:pPr>
        <w:ind w:firstLine="560"/>
      </w:pPr>
      <w:r>
        <w:t>经呈贡区人民政府会议决定，授权昆明市呈贡区粮食局（以下简称区粮食局）为本项目实施机构，并授权呈贡军粮供应站代表政府与社会资本共同组建项目公司（SPV）。政府方基于PPP项目合同形成与项目公司之间的平等民事主体关系，按照 PPP项目合同的约定行使权利、履行义务。</w:t>
      </w:r>
    </w:p>
    <w:p>
      <w:pPr>
        <w:pStyle w:val="3"/>
        <w:ind w:firstLine="562"/>
        <w:rPr>
          <w:rFonts w:ascii="Times New Roman" w:hAnsi="Times New Roman"/>
          <w:szCs w:val="28"/>
        </w:rPr>
      </w:pPr>
      <w:bookmarkStart w:id="72" w:name="_Toc28886"/>
      <w:bookmarkStart w:id="73" w:name="_Toc468088618"/>
      <w:r>
        <w:rPr>
          <w:rFonts w:ascii="Times New Roman" w:hAnsi="Times New Roman"/>
          <w:szCs w:val="28"/>
        </w:rPr>
        <w:t>3.2 运作方式</w:t>
      </w:r>
      <w:bookmarkEnd w:id="72"/>
      <w:bookmarkEnd w:id="73"/>
    </w:p>
    <w:p>
      <w:pPr>
        <w:ind w:firstLine="560"/>
      </w:pPr>
      <w:r>
        <w:t>本项目拟采</w:t>
      </w:r>
      <w:r>
        <w:rPr>
          <w:rFonts w:hint="eastAsia"/>
        </w:rPr>
        <w:t>用</w:t>
      </w:r>
      <w:r>
        <w:t>B0T</w:t>
      </w:r>
      <w:r>
        <w:rPr>
          <w:rFonts w:hint="eastAsia"/>
        </w:rPr>
        <w:t>的运作方式</w:t>
      </w:r>
      <w:r>
        <w:t>，拟合作期限</w:t>
      </w:r>
      <w:r>
        <w:rPr>
          <w:rFonts w:hint="eastAsia"/>
        </w:rPr>
        <w:t>21</w:t>
      </w:r>
      <w:r>
        <w:t>年（含建设期1年）。由政府与社会资本组建项目公司（SPV）</w:t>
      </w:r>
      <w:r>
        <w:rPr>
          <w:rFonts w:hint="eastAsia"/>
        </w:rPr>
        <w:t>，</w:t>
      </w:r>
      <w:r>
        <w:t>负责项目的</w:t>
      </w:r>
      <w:r>
        <w:rPr>
          <w:rFonts w:hint="eastAsia"/>
        </w:rPr>
        <w:t>投融资、</w:t>
      </w:r>
      <w:r>
        <w:t>建设、运营、维护、移交等。</w:t>
      </w:r>
    </w:p>
    <w:p>
      <w:pPr>
        <w:ind w:firstLine="560"/>
        <w:rPr>
          <w:rFonts w:ascii="Times New Roman" w:hAnsi="Times New Roman"/>
          <w:szCs w:val="28"/>
        </w:rPr>
      </w:pPr>
      <w:r>
        <w:drawing>
          <wp:anchor distT="0" distB="0" distL="114300" distR="114300" simplePos="0" relativeHeight="251658240" behindDoc="0" locked="0" layoutInCell="1" allowOverlap="1">
            <wp:simplePos x="0" y="0"/>
            <wp:positionH relativeFrom="column">
              <wp:posOffset>317500</wp:posOffset>
            </wp:positionH>
            <wp:positionV relativeFrom="paragraph">
              <wp:posOffset>336550</wp:posOffset>
            </wp:positionV>
            <wp:extent cx="4353560" cy="3462020"/>
            <wp:effectExtent l="0" t="0" r="8890" b="5080"/>
            <wp:wrapTopAndBottom/>
            <wp:docPr id="1" name="图片 9"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C:\Users\Administrator\Desktop\图片1.png图片1"/>
                    <pic:cNvPicPr>
                      <a:picLocks noChangeAspect="1"/>
                    </pic:cNvPicPr>
                  </pic:nvPicPr>
                  <pic:blipFill>
                    <a:blip r:embed="rId12"/>
                    <a:srcRect/>
                    <a:stretch>
                      <a:fillRect/>
                    </a:stretch>
                  </pic:blipFill>
                  <pic:spPr>
                    <a:xfrm>
                      <a:off x="0" y="0"/>
                      <a:ext cx="4353560" cy="3462020"/>
                    </a:xfrm>
                    <a:prstGeom prst="rect">
                      <a:avLst/>
                    </a:prstGeom>
                    <a:noFill/>
                    <a:ln w="9525">
                      <a:noFill/>
                    </a:ln>
                  </pic:spPr>
                </pic:pic>
              </a:graphicData>
            </a:graphic>
          </wp:anchor>
        </w:drawing>
      </w:r>
      <w:r>
        <w:rPr>
          <w:rFonts w:ascii="Times New Roman" w:hAnsi="Times New Roman"/>
          <w:szCs w:val="28"/>
        </w:rPr>
        <w:t>呈贡军粮供应站与选定的社会资本方签订《合资合作协议》，共同组建项目公司。区粮食局与项目公司签订《PPP项目合同》，授予项目公司投资、运营、管理本项目的权利。合同期满后项目资产及相关权利等按法定程序完好无偿移交给政府或政府指定的其他机构。</w:t>
      </w:r>
    </w:p>
    <w:p>
      <w:pPr>
        <w:ind w:firstLine="560"/>
        <w:rPr>
          <w:rFonts w:ascii="Times New Roman"/>
        </w:rPr>
      </w:pPr>
      <w:r>
        <w:rPr>
          <w:rFonts w:ascii="Times New Roman" w:hAnsi="Times New Roman"/>
          <w:szCs w:val="28"/>
        </w:rPr>
        <w:t>对于项目经营收入不足以覆盖社会资本投资及合理回报的缺口部分，由政府纳入财政预算，根据PPP项目合同并按照绩效考核结果给予项目公司可行性缺口补助。</w:t>
      </w:r>
    </w:p>
    <w:p>
      <w:pPr>
        <w:pStyle w:val="3"/>
        <w:ind w:firstLine="562"/>
        <w:rPr>
          <w:rFonts w:ascii="Times New Roman" w:hAnsi="Times New Roman"/>
          <w:szCs w:val="28"/>
        </w:rPr>
      </w:pPr>
      <w:bookmarkStart w:id="74" w:name="_Toc468088619"/>
      <w:bookmarkStart w:id="75" w:name="_Toc11995"/>
      <w:r>
        <w:rPr>
          <w:rFonts w:ascii="Times New Roman" w:hAnsi="Times New Roman"/>
          <w:szCs w:val="28"/>
        </w:rPr>
        <w:t>3.3 合作期限</w:t>
      </w:r>
      <w:bookmarkEnd w:id="74"/>
      <w:bookmarkEnd w:id="75"/>
    </w:p>
    <w:p>
      <w:pPr>
        <w:ind w:firstLine="560"/>
        <w:rPr>
          <w:rFonts w:ascii="Times New Roman" w:hAnsi="Times New Roman"/>
          <w:szCs w:val="28"/>
        </w:rPr>
      </w:pPr>
      <w:r>
        <w:rPr>
          <w:rFonts w:hint="eastAsia" w:ascii="Times New Roman" w:hAnsi="Times New Roman"/>
          <w:szCs w:val="28"/>
        </w:rPr>
        <w:t>本项目合作期21年，其中：建设期1年，运营期20年</w:t>
      </w:r>
      <w:r>
        <w:rPr>
          <w:rFonts w:ascii="Times New Roman" w:hAnsi="Times New Roman"/>
          <w:szCs w:val="28"/>
        </w:rPr>
        <w:t>。</w:t>
      </w:r>
    </w:p>
    <w:p>
      <w:pPr>
        <w:pStyle w:val="3"/>
        <w:ind w:firstLine="562"/>
        <w:rPr>
          <w:rFonts w:ascii="Times New Roman" w:hAnsi="Times New Roman"/>
          <w:szCs w:val="28"/>
        </w:rPr>
      </w:pPr>
      <w:bookmarkStart w:id="76" w:name="_Toc468088620"/>
      <w:bookmarkStart w:id="77" w:name="_Toc3520"/>
      <w:r>
        <w:rPr>
          <w:rFonts w:ascii="Times New Roman" w:hAnsi="Times New Roman"/>
          <w:szCs w:val="28"/>
        </w:rPr>
        <w:t>3.4 资产权属</w:t>
      </w:r>
      <w:bookmarkEnd w:id="76"/>
      <w:bookmarkEnd w:id="77"/>
    </w:p>
    <w:p>
      <w:pPr>
        <w:autoSpaceDE w:val="0"/>
        <w:autoSpaceDN w:val="0"/>
        <w:ind w:firstLine="560"/>
        <w:rPr>
          <w:rFonts w:ascii="Times New Roman" w:hAnsi="Times New Roman"/>
          <w:szCs w:val="28"/>
        </w:rPr>
      </w:pPr>
      <w:r>
        <w:rPr>
          <w:rFonts w:ascii="Times New Roman" w:hAnsi="Times New Roman"/>
          <w:szCs w:val="28"/>
        </w:rPr>
        <w:t>特许经营期内，项目公司享有本项目及其附属设施的使用权和收益权，项目所有权和处置权归政府方所有。若届时法律另有规定，从其规定。</w:t>
      </w:r>
    </w:p>
    <w:p>
      <w:pPr>
        <w:pStyle w:val="2"/>
        <w:spacing w:before="240" w:after="240" w:line="560" w:lineRule="exact"/>
        <w:ind w:firstLine="562"/>
        <w:jc w:val="left"/>
        <w:rPr>
          <w:rFonts w:ascii="黑体" w:hAnsi="黑体" w:eastAsia="黑体" w:cs="黑体"/>
          <w:sz w:val="28"/>
          <w:szCs w:val="28"/>
        </w:rPr>
      </w:pPr>
      <w:bookmarkStart w:id="78" w:name="_Toc468088621"/>
      <w:bookmarkStart w:id="79" w:name="_Toc4839"/>
      <w:r>
        <w:rPr>
          <w:rFonts w:hint="eastAsia" w:ascii="黑体" w:hAnsi="黑体" w:eastAsia="黑体" w:cs="黑体"/>
          <w:sz w:val="28"/>
          <w:szCs w:val="28"/>
        </w:rPr>
        <w:t>四、项目交易结构</w:t>
      </w:r>
      <w:bookmarkEnd w:id="78"/>
      <w:bookmarkEnd w:id="79"/>
    </w:p>
    <w:p>
      <w:pPr>
        <w:pStyle w:val="3"/>
        <w:ind w:firstLine="562"/>
        <w:rPr>
          <w:rFonts w:ascii="Times New Roman" w:hAnsi="Times New Roman"/>
          <w:szCs w:val="28"/>
        </w:rPr>
      </w:pPr>
      <w:bookmarkStart w:id="80" w:name="_Toc6111"/>
      <w:bookmarkStart w:id="81" w:name="_Toc468088622"/>
      <w:r>
        <w:rPr>
          <w:rFonts w:ascii="Times New Roman" w:hAnsi="Times New Roman"/>
          <w:szCs w:val="28"/>
        </w:rPr>
        <w:t>4.1 投融资结构</w:t>
      </w:r>
      <w:bookmarkEnd w:id="80"/>
      <w:bookmarkEnd w:id="81"/>
    </w:p>
    <w:p>
      <w:pPr>
        <w:pStyle w:val="4"/>
        <w:ind w:firstLine="562"/>
      </w:pPr>
      <w:bookmarkStart w:id="82" w:name="_Toc7644"/>
      <w:bookmarkStart w:id="83" w:name="_Toc468088623"/>
      <w:r>
        <w:t xml:space="preserve">4.1.1 </w:t>
      </w:r>
      <w:bookmarkEnd w:id="82"/>
      <w:r>
        <w:rPr>
          <w:rFonts w:hint="eastAsia"/>
        </w:rPr>
        <w:t>股权结构</w:t>
      </w:r>
      <w:bookmarkEnd w:id="83"/>
    </w:p>
    <w:p>
      <w:pPr>
        <w:numPr>
          <w:ilvl w:val="0"/>
          <w:numId w:val="1"/>
        </w:numPr>
        <w:autoSpaceDE w:val="0"/>
        <w:autoSpaceDN w:val="0"/>
        <w:ind w:firstLine="560"/>
        <w:rPr>
          <w:rFonts w:ascii="Times New Roman" w:hAnsi="Times New Roman"/>
          <w:szCs w:val="28"/>
        </w:rPr>
      </w:pPr>
      <w:r>
        <w:rPr>
          <w:rFonts w:hint="eastAsia" w:ascii="Times New Roman" w:hAnsi="Times New Roman"/>
          <w:szCs w:val="28"/>
        </w:rPr>
        <w:t>注册资本</w:t>
      </w:r>
    </w:p>
    <w:p>
      <w:pPr>
        <w:autoSpaceDE w:val="0"/>
        <w:autoSpaceDN w:val="0"/>
        <w:ind w:firstLine="560"/>
        <w:rPr>
          <w:rFonts w:ascii="Times New Roman" w:hAnsi="Times New Roman"/>
          <w:szCs w:val="28"/>
        </w:rPr>
      </w:pPr>
      <w:r>
        <w:rPr>
          <w:rFonts w:hint="eastAsia" w:ascii="Times New Roman" w:hAnsi="Times New Roman"/>
          <w:szCs w:val="28"/>
        </w:rPr>
        <w:t>社会资本与呈贡军粮供应站出资设立项目公司（SPV），公司是依法设立的自主运营、自负盈亏的具有独立法人资格的经营实体。项目公司（SPV）注册资金9503.75万元（项目总投资的35%），其中：呈贡军粮供应站出资4656.84万元，持股比例为49%；社会资本出资4846.91万元（货币出资），持股比例为51%。</w:t>
      </w:r>
    </w:p>
    <w:p>
      <w:pPr>
        <w:ind w:firstLine="560"/>
        <w:rPr>
          <w:rFonts w:ascii="Times New Roman" w:hAnsi="Times New Roman"/>
          <w:szCs w:val="28"/>
        </w:rPr>
      </w:pPr>
      <w:r>
        <w:rPr>
          <w:rFonts w:hint="eastAsia" w:ascii="Times New Roman" w:hAnsi="Times New Roman"/>
          <w:szCs w:val="28"/>
        </w:rPr>
        <w:t>（2）项目资本金</w:t>
      </w:r>
    </w:p>
    <w:p>
      <w:pPr>
        <w:autoSpaceDE w:val="0"/>
        <w:autoSpaceDN w:val="0"/>
        <w:ind w:firstLine="560"/>
        <w:rPr>
          <w:rFonts w:ascii="Times New Roman" w:hAnsi="Times New Roman"/>
          <w:szCs w:val="28"/>
        </w:rPr>
      </w:pPr>
      <w:r>
        <w:rPr>
          <w:rFonts w:hint="eastAsia" w:ascii="Times New Roman" w:hAnsi="Times New Roman"/>
          <w:szCs w:val="28"/>
        </w:rPr>
        <w:t>本项目项目资本金共计11672.77万元（占项目总投资的42.99%），构成如下：</w:t>
      </w:r>
    </w:p>
    <w:p>
      <w:pPr>
        <w:autoSpaceDE w:val="0"/>
        <w:autoSpaceDN w:val="0"/>
        <w:ind w:firstLine="560"/>
        <w:rPr>
          <w:rFonts w:ascii="Times New Roman" w:hAnsi="Times New Roman"/>
          <w:szCs w:val="28"/>
        </w:rPr>
      </w:pPr>
      <w:r>
        <w:rPr>
          <w:rFonts w:hint="eastAsia" w:ascii="Times New Roman" w:hAnsi="Times New Roman"/>
          <w:szCs w:val="28"/>
        </w:rPr>
        <w:t>① 项目前期建设政府方已投入6825.86万元，全部作为项目资本金（含政府方股权投资4656.84万元）；</w:t>
      </w:r>
    </w:p>
    <w:p>
      <w:pPr>
        <w:autoSpaceDE w:val="0"/>
        <w:autoSpaceDN w:val="0"/>
        <w:ind w:firstLine="560"/>
        <w:rPr>
          <w:rFonts w:ascii="Times New Roman" w:hAnsi="Times New Roman"/>
          <w:szCs w:val="28"/>
        </w:rPr>
      </w:pPr>
      <w:r>
        <w:rPr>
          <w:rFonts w:hint="eastAsia" w:ascii="Times New Roman" w:hAnsi="Times New Roman"/>
          <w:szCs w:val="28"/>
        </w:rPr>
        <w:t>② 社会资本方股权出资4846.91万元。</w:t>
      </w:r>
    </w:p>
    <w:p>
      <w:pPr>
        <w:ind w:firstLine="560"/>
        <w:rPr>
          <w:rFonts w:eastAsia="Times New Roman"/>
        </w:rPr>
      </w:pPr>
      <w:r>
        <w:rPr>
          <w:rFonts w:hint="eastAsia"/>
        </w:rPr>
        <w:t>（3）政府资金来源</w:t>
      </w:r>
    </w:p>
    <w:p>
      <w:pPr>
        <w:autoSpaceDE w:val="0"/>
        <w:autoSpaceDN w:val="0"/>
        <w:ind w:firstLine="560"/>
        <w:rPr>
          <w:rFonts w:ascii="Times New Roman" w:hAnsi="Times New Roman"/>
          <w:szCs w:val="28"/>
        </w:rPr>
      </w:pPr>
      <w:r>
        <w:rPr>
          <w:rFonts w:hint="eastAsia"/>
        </w:rPr>
        <w:t>政府到位资金</w:t>
      </w:r>
      <w:r>
        <w:rPr>
          <w:rFonts w:hint="eastAsia" w:ascii="Times New Roman" w:hAnsi="Times New Roman"/>
          <w:szCs w:val="28"/>
        </w:rPr>
        <w:t>6825.86万元，来源如下：</w:t>
      </w:r>
    </w:p>
    <w:p>
      <w:pPr>
        <w:autoSpaceDE w:val="0"/>
        <w:autoSpaceDN w:val="0"/>
        <w:ind w:firstLine="560"/>
      </w:pPr>
      <w:r>
        <w:rPr>
          <w:rFonts w:hint="eastAsia" w:ascii="Times New Roman" w:hAnsi="Times New Roman"/>
          <w:szCs w:val="28"/>
        </w:rPr>
        <w:t xml:space="preserve">① </w:t>
      </w:r>
      <w:r>
        <w:rPr>
          <w:rFonts w:eastAsia="Times New Roman"/>
        </w:rPr>
        <w:t>地方财政预算4332万元</w:t>
      </w:r>
      <w:r>
        <w:rPr>
          <w:rFonts w:hint="eastAsia"/>
        </w:rPr>
        <w:t>；</w:t>
      </w:r>
    </w:p>
    <w:p>
      <w:pPr>
        <w:autoSpaceDE w:val="0"/>
        <w:autoSpaceDN w:val="0"/>
        <w:ind w:firstLine="560"/>
      </w:pPr>
      <w:r>
        <w:rPr>
          <w:rFonts w:hint="eastAsia"/>
        </w:rPr>
        <w:t xml:space="preserve">② </w:t>
      </w:r>
      <w:r>
        <w:rPr>
          <w:rFonts w:eastAsia="Times New Roman"/>
        </w:rPr>
        <w:t>区财政沉淀资金分配安排1000万元</w:t>
      </w:r>
      <w:r>
        <w:rPr>
          <w:rFonts w:hint="eastAsia"/>
        </w:rPr>
        <w:t>；</w:t>
      </w:r>
    </w:p>
    <w:p>
      <w:pPr>
        <w:autoSpaceDE w:val="0"/>
        <w:autoSpaceDN w:val="0"/>
        <w:ind w:firstLine="560"/>
      </w:pPr>
      <w:r>
        <w:rPr>
          <w:rFonts w:hint="eastAsia"/>
        </w:rPr>
        <w:t xml:space="preserve">③ </w:t>
      </w:r>
      <w:r>
        <w:rPr>
          <w:rFonts w:eastAsia="Times New Roman"/>
        </w:rPr>
        <w:t>危仓老库维修改造中央补助资金887万元</w:t>
      </w:r>
      <w:r>
        <w:rPr>
          <w:rFonts w:hint="eastAsia"/>
        </w:rPr>
        <w:t>；</w:t>
      </w:r>
    </w:p>
    <w:p>
      <w:pPr>
        <w:autoSpaceDE w:val="0"/>
        <w:autoSpaceDN w:val="0"/>
        <w:ind w:firstLine="560"/>
      </w:pPr>
      <w:r>
        <w:rPr>
          <w:rFonts w:hint="eastAsia"/>
        </w:rPr>
        <w:t xml:space="preserve">④ </w:t>
      </w:r>
      <w:r>
        <w:rPr>
          <w:rFonts w:eastAsia="Times New Roman"/>
        </w:rPr>
        <w:t>市级危仓老库维修</w:t>
      </w:r>
      <w:r>
        <w:rPr>
          <w:rFonts w:hint="eastAsia"/>
        </w:rPr>
        <w:t>改造</w:t>
      </w:r>
      <w:r>
        <w:rPr>
          <w:rFonts w:eastAsia="Times New Roman"/>
        </w:rPr>
        <w:t>配套资金506.86万元</w:t>
      </w:r>
      <w:r>
        <w:rPr>
          <w:rFonts w:hint="eastAsia"/>
        </w:rPr>
        <w:t>；</w:t>
      </w:r>
    </w:p>
    <w:p>
      <w:pPr>
        <w:autoSpaceDE w:val="0"/>
        <w:autoSpaceDN w:val="0"/>
        <w:ind w:firstLine="560"/>
        <w:rPr>
          <w:rFonts w:ascii="Times New Roman" w:hAnsi="Times New Roman"/>
          <w:szCs w:val="28"/>
        </w:rPr>
      </w:pPr>
      <w:r>
        <w:rPr>
          <w:rFonts w:hint="eastAsia"/>
        </w:rPr>
        <w:t xml:space="preserve">⑤ </w:t>
      </w:r>
      <w:r>
        <w:rPr>
          <w:rFonts w:eastAsia="Times New Roman"/>
        </w:rPr>
        <w:t>西部大开发重点项目前期工作专项补助100万元。</w:t>
      </w:r>
    </w:p>
    <w:p>
      <w:pPr>
        <w:ind w:firstLine="560"/>
        <w:rPr>
          <w:rFonts w:eastAsia="Times New Roman"/>
        </w:rPr>
      </w:pPr>
      <w:r>
        <w:rPr>
          <w:rFonts w:hint="eastAsia"/>
        </w:rPr>
        <w:t>（4）其他</w:t>
      </w:r>
    </w:p>
    <w:p>
      <w:pPr>
        <w:autoSpaceDE w:val="0"/>
        <w:autoSpaceDN w:val="0"/>
        <w:ind w:firstLine="560"/>
        <w:rPr>
          <w:rFonts w:eastAsia="Times New Roman"/>
        </w:rPr>
      </w:pPr>
      <w:r>
        <w:rPr>
          <w:rFonts w:eastAsia="Times New Roman"/>
        </w:rPr>
        <w:t>合作期内，若项目获得国家、省级、市级的奖励或补助资金，或者争取到国家基础设施专项基金，视为政府方投入，作为项目公司资本公积，提前偿还金融机构贷款，调整可行性缺口补助公式，减少政府补助额度。</w:t>
      </w:r>
    </w:p>
    <w:p>
      <w:pPr>
        <w:pStyle w:val="4"/>
        <w:ind w:firstLine="562"/>
        <w:rPr>
          <w:rFonts w:ascii="Times New Roman" w:hAnsi="Times New Roman"/>
          <w:szCs w:val="28"/>
        </w:rPr>
      </w:pPr>
      <w:bookmarkStart w:id="84" w:name="_Toc16896"/>
      <w:bookmarkStart w:id="85" w:name="_Toc5800"/>
      <w:bookmarkStart w:id="86" w:name="_Toc468088624"/>
      <w:r>
        <w:rPr>
          <w:rFonts w:ascii="Times New Roman" w:hAnsi="Times New Roman"/>
          <w:szCs w:val="28"/>
        </w:rPr>
        <w:t xml:space="preserve">4.1.2 </w:t>
      </w:r>
      <w:bookmarkEnd w:id="84"/>
      <w:bookmarkEnd w:id="85"/>
      <w:r>
        <w:rPr>
          <w:rFonts w:hint="eastAsia" w:ascii="Times New Roman" w:hAnsi="Times New Roman"/>
          <w:szCs w:val="28"/>
        </w:rPr>
        <w:t>融资结构</w:t>
      </w:r>
      <w:bookmarkEnd w:id="86"/>
    </w:p>
    <w:p>
      <w:pPr>
        <w:ind w:firstLine="560"/>
      </w:pPr>
      <w:r>
        <w:t>除</w:t>
      </w:r>
      <w:r>
        <w:rPr>
          <w:rFonts w:hint="eastAsia"/>
        </w:rPr>
        <w:t>项目资本金外</w:t>
      </w:r>
      <w:r>
        <w:t>，缺口部分</w:t>
      </w:r>
      <w:r>
        <w:rPr>
          <w:rFonts w:hint="eastAsia"/>
        </w:rPr>
        <w:t>15480.79</w:t>
      </w:r>
      <w:r>
        <w:t>万元（占总投资的</w:t>
      </w:r>
      <w:r>
        <w:rPr>
          <w:rFonts w:hint="eastAsia"/>
        </w:rPr>
        <w:t>57.01%）</w:t>
      </w:r>
      <w:r>
        <w:t>，由</w:t>
      </w:r>
      <w:r>
        <w:rPr>
          <w:rFonts w:hint="eastAsia"/>
        </w:rPr>
        <w:t>社会资本负责筹集</w:t>
      </w:r>
      <w:r>
        <w:t>。</w:t>
      </w:r>
    </w:p>
    <w:p>
      <w:pPr>
        <w:pStyle w:val="3"/>
        <w:spacing w:before="200" w:after="200" w:line="560" w:lineRule="exact"/>
        <w:ind w:firstLine="562"/>
        <w:jc w:val="left"/>
        <w:rPr>
          <w:rFonts w:ascii="Times New Roman" w:hAnsi="Times New Roman"/>
          <w:szCs w:val="28"/>
        </w:rPr>
      </w:pPr>
      <w:bookmarkStart w:id="87" w:name="_Toc452106671"/>
      <w:bookmarkStart w:id="88" w:name="_Toc468088625"/>
      <w:bookmarkStart w:id="89" w:name="_Toc939"/>
      <w:bookmarkStart w:id="90" w:name="_Toc28581"/>
      <w:r>
        <w:rPr>
          <w:rFonts w:ascii="Times New Roman" w:hAnsi="Times New Roman"/>
          <w:szCs w:val="28"/>
        </w:rPr>
        <w:t xml:space="preserve">4.2 </w:t>
      </w:r>
      <w:bookmarkEnd w:id="87"/>
      <w:r>
        <w:rPr>
          <w:rFonts w:ascii="Times New Roman" w:hAnsi="Times New Roman"/>
          <w:szCs w:val="28"/>
        </w:rPr>
        <w:t>回报机制</w:t>
      </w:r>
      <w:bookmarkEnd w:id="88"/>
      <w:bookmarkEnd w:id="89"/>
      <w:bookmarkEnd w:id="90"/>
    </w:p>
    <w:p>
      <w:pPr>
        <w:pStyle w:val="4"/>
        <w:ind w:firstLine="562"/>
      </w:pPr>
      <w:bookmarkStart w:id="91" w:name="_Toc5513"/>
      <w:bookmarkStart w:id="92" w:name="_Toc12158"/>
      <w:bookmarkStart w:id="93" w:name="_Toc468088626"/>
      <w:bookmarkStart w:id="94" w:name="_Toc452106672"/>
      <w:r>
        <w:t>4.2.1 回报机制</w:t>
      </w:r>
      <w:bookmarkEnd w:id="91"/>
      <w:bookmarkEnd w:id="92"/>
      <w:bookmarkEnd w:id="93"/>
      <w:bookmarkEnd w:id="94"/>
    </w:p>
    <w:p>
      <w:pPr>
        <w:ind w:firstLine="560"/>
      </w:pPr>
      <w:r>
        <w:t>项目回报机制指的是项目收入的来源方式，主要包括使用者付费、可行性缺口补助和政府付费等，由项目自身经营属性所决定。使用者付费是指最终由消费用户直接付费购买公共产品和服务，一般适用于可市场化运作，收入能覆盖成本和合理回报的项目；可行性缺口补助，是指使用者付费不足以满足社会资本或项目公司成本回收和合理回报，而由政府以财政补贴、股本投入、优惠贷款和其他优惠政策的形式，给予社会资本或项目公司的经济补助；而政府付费则指政府直接付费购买公共产品和服务。</w:t>
      </w:r>
    </w:p>
    <w:p>
      <w:pPr>
        <w:ind w:firstLine="560"/>
      </w:pPr>
      <w:r>
        <w:t>本项目收益回报方式为政府可行性缺口补助。其中：经营收入部分来源于粮油仓储、粮食加工及销售、仓库和临街铺面出租等收入，可行性缺口补助来源于呈贡区一般公共财政预算。</w:t>
      </w:r>
    </w:p>
    <w:p>
      <w:pPr>
        <w:pStyle w:val="4"/>
        <w:spacing w:before="160" w:after="160"/>
        <w:ind w:firstLine="562"/>
        <w:rPr>
          <w:rFonts w:ascii="Times New Roman" w:hAnsi="Times New Roman"/>
          <w:szCs w:val="28"/>
        </w:rPr>
      </w:pPr>
      <w:bookmarkStart w:id="95" w:name="_Toc8203"/>
      <w:bookmarkStart w:id="96" w:name="_Toc468088627"/>
      <w:bookmarkStart w:id="97" w:name="_Toc8605"/>
      <w:r>
        <w:rPr>
          <w:rFonts w:ascii="Times New Roman" w:hAnsi="Times New Roman"/>
          <w:szCs w:val="28"/>
        </w:rPr>
        <w:t>4.2.</w:t>
      </w:r>
      <w:r>
        <w:rPr>
          <w:rFonts w:hint="eastAsia" w:ascii="Times New Roman" w:hAnsi="Times New Roman"/>
          <w:szCs w:val="28"/>
        </w:rPr>
        <w:t>2</w:t>
      </w:r>
      <w:r>
        <w:rPr>
          <w:rFonts w:ascii="Times New Roman" w:hAnsi="Times New Roman"/>
          <w:szCs w:val="28"/>
        </w:rPr>
        <w:t xml:space="preserve"> 付费机制</w:t>
      </w:r>
      <w:bookmarkEnd w:id="95"/>
      <w:bookmarkEnd w:id="96"/>
      <w:bookmarkEnd w:id="97"/>
    </w:p>
    <w:p>
      <w:pPr>
        <w:ind w:firstLine="560"/>
        <w:rPr>
          <w:rFonts w:ascii="仿宋" w:hAnsi="仿宋" w:cs="仿宋"/>
          <w:szCs w:val="28"/>
        </w:rPr>
      </w:pPr>
      <w:r>
        <w:rPr>
          <w:rFonts w:hint="eastAsia" w:ascii="仿宋" w:hAnsi="仿宋" w:cs="仿宋"/>
          <w:szCs w:val="28"/>
        </w:rPr>
        <w:t>本项目采用绩效付费机制。政府补贴部分与绩效考核挂钩，即PPP项目合同最终确定的政府补助金额与绩效考核挂钩，政府将用于本项目的支出责任纳入本级财政年度预算，经绩效考核后按年度支付。</w:t>
      </w:r>
    </w:p>
    <w:p>
      <w:pPr>
        <w:pStyle w:val="3"/>
        <w:spacing w:before="200" w:after="200" w:line="560" w:lineRule="exact"/>
        <w:ind w:firstLine="562"/>
        <w:jc w:val="left"/>
        <w:rPr>
          <w:rFonts w:ascii="Times New Roman" w:hAnsi="Times New Roman"/>
          <w:szCs w:val="28"/>
        </w:rPr>
      </w:pPr>
      <w:bookmarkStart w:id="98" w:name="_Toc453432009"/>
      <w:bookmarkStart w:id="99" w:name="_Toc7279"/>
      <w:bookmarkStart w:id="100" w:name="_Toc468088628"/>
      <w:bookmarkStart w:id="101" w:name="_Toc15830"/>
      <w:r>
        <w:rPr>
          <w:rFonts w:ascii="Times New Roman" w:hAnsi="Times New Roman"/>
          <w:szCs w:val="28"/>
        </w:rPr>
        <w:t>4.3 政府配套安排</w:t>
      </w:r>
      <w:bookmarkEnd w:id="98"/>
      <w:bookmarkEnd w:id="99"/>
      <w:bookmarkEnd w:id="100"/>
      <w:bookmarkEnd w:id="101"/>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政府为项目公司取得相关土地权利提供必要的协助。</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政府提供相关连接设施，包括建设部分项目配套设施，完成项目与现有相关基础设施和公用事业的无缝对接。</w:t>
      </w:r>
    </w:p>
    <w:p>
      <w:pPr>
        <w:ind w:firstLine="560"/>
        <w:rPr>
          <w:rFonts w:ascii="Times New Roman" w:hAnsi="Times New Roman"/>
          <w:szCs w:val="28"/>
        </w:rPr>
      </w:pPr>
      <w:r>
        <w:rPr>
          <w:rFonts w:hint="eastAsia" w:ascii="Times New Roman" w:hAnsi="Times New Roman"/>
          <w:szCs w:val="28"/>
        </w:rPr>
        <w:t>（3）</w:t>
      </w:r>
      <w:r>
        <w:rPr>
          <w:rFonts w:ascii="Times New Roman" w:hAnsi="Times New Roman"/>
          <w:szCs w:val="28"/>
        </w:rPr>
        <w:t>保障本项目正常建设、运营用水、用电等配套设施的投资，已经包含在项目总投资之中，政府方不再负有配套安排的支出责任。</w:t>
      </w:r>
    </w:p>
    <w:p>
      <w:pPr>
        <w:ind w:firstLine="560"/>
        <w:rPr>
          <w:rFonts w:ascii="Times New Roman" w:hAnsi="Times New Roman"/>
          <w:szCs w:val="28"/>
        </w:rPr>
      </w:pPr>
      <w:r>
        <w:rPr>
          <w:rFonts w:hint="eastAsia" w:ascii="Times New Roman" w:hAnsi="Times New Roman"/>
          <w:szCs w:val="28"/>
        </w:rPr>
        <w:t>（4）</w:t>
      </w:r>
      <w:r>
        <w:rPr>
          <w:rFonts w:ascii="Times New Roman" w:hAnsi="Times New Roman"/>
          <w:szCs w:val="28"/>
        </w:rPr>
        <w:t>积极争取国家政策及专项资金的支持。</w:t>
      </w:r>
    </w:p>
    <w:p>
      <w:pPr>
        <w:pStyle w:val="3"/>
        <w:spacing w:before="200" w:after="200" w:line="560" w:lineRule="exact"/>
        <w:ind w:firstLine="562"/>
        <w:jc w:val="left"/>
        <w:rPr>
          <w:rFonts w:ascii="Times New Roman" w:hAnsi="Times New Roman"/>
          <w:szCs w:val="28"/>
        </w:rPr>
      </w:pPr>
      <w:bookmarkStart w:id="102" w:name="_Toc18656"/>
      <w:bookmarkStart w:id="103" w:name="_Toc468088629"/>
      <w:r>
        <w:rPr>
          <w:rFonts w:ascii="Times New Roman" w:hAnsi="Times New Roman"/>
          <w:szCs w:val="28"/>
        </w:rPr>
        <w:t>4.4 价格机制</w:t>
      </w:r>
      <w:bookmarkEnd w:id="102"/>
      <w:bookmarkEnd w:id="103"/>
    </w:p>
    <w:p>
      <w:pPr>
        <w:pStyle w:val="4"/>
        <w:ind w:firstLine="562"/>
      </w:pPr>
      <w:bookmarkStart w:id="104" w:name="_Toc468088630"/>
      <w:bookmarkStart w:id="105" w:name="_Toc270"/>
      <w:r>
        <w:t>4.4.1 定价机制</w:t>
      </w:r>
      <w:bookmarkEnd w:id="104"/>
      <w:bookmarkEnd w:id="105"/>
    </w:p>
    <w:p>
      <w:pPr>
        <w:ind w:firstLine="560"/>
      </w:pPr>
      <w:r>
        <w:t>项目特许经营期间，区政府将根据《呈贡区区级储备粮油管理办法》等文件对储备粮油的储备费用进行定价，粮油加工、仓库及临街铺面的出租等价格将参考市场经营价格，以市场定价机制为准。</w:t>
      </w:r>
    </w:p>
    <w:p>
      <w:pPr>
        <w:ind w:firstLine="560"/>
      </w:pPr>
      <w:r>
        <w:t>项目特许经营期间，储备粮利费补贴的价格调整按国家政策规定执行。粮油加工、仓库及临街铺面的出租等价格调整将遵循市场定价原则，以市场调节机制为主。</w:t>
      </w:r>
    </w:p>
    <w:p>
      <w:pPr>
        <w:pStyle w:val="4"/>
        <w:ind w:firstLine="562"/>
      </w:pPr>
      <w:bookmarkStart w:id="106" w:name="_Toc468088631"/>
      <w:bookmarkStart w:id="107" w:name="_Toc26519"/>
      <w:r>
        <w:t>4.4.2 可行性缺口补助</w:t>
      </w:r>
      <w:bookmarkEnd w:id="106"/>
      <w:bookmarkEnd w:id="107"/>
    </w:p>
    <w:p>
      <w:pPr>
        <w:ind w:firstLine="560"/>
        <w:rPr>
          <w:rFonts w:ascii="Times New Roman" w:hAnsi="Times New Roman"/>
          <w:szCs w:val="28"/>
        </w:rPr>
      </w:pPr>
      <w:bookmarkStart w:id="108" w:name="_Toc30197"/>
      <w:r>
        <w:rPr>
          <w:rFonts w:hint="eastAsia" w:ascii="Times New Roman" w:hAnsi="Times New Roman"/>
          <w:szCs w:val="28"/>
        </w:rPr>
        <w:t>参照《关于印发&lt;政府和社会资本合作项目财政承受能力论证指引&gt;的通知》（财金〔2015〕21号），对可行性缺口补助模式的项目，在项目运营补贴期间，政府承担部分直接付费责任。政府每年直接付费数额包括：社会资本方承担的年均建设成本（折算至各年度）、年度运营成本及合理利润，再减去每年使用者付费的数额。</w:t>
      </w:r>
    </w:p>
    <w:p>
      <w:pPr>
        <w:ind w:firstLine="560"/>
        <w:rPr>
          <w:rFonts w:ascii="Times New Roman" w:hAnsi="Times New Roman"/>
          <w:szCs w:val="28"/>
        </w:rPr>
      </w:pPr>
      <w:r>
        <w:rPr>
          <w:rFonts w:hint="eastAsia" w:ascii="Times New Roman" w:hAnsi="Times New Roman"/>
          <w:szCs w:val="28"/>
        </w:rPr>
        <w:t>本项目政府补贴根据项目实际情况，结合市场调研结果，</w:t>
      </w:r>
      <w:r>
        <w:rPr>
          <w:rFonts w:ascii="Times New Roman" w:hAnsi="Times New Roman"/>
          <w:szCs w:val="28"/>
        </w:rPr>
        <w:t>在财金〔2015〕21号文政府补助公式的基础上进行调整</w:t>
      </w:r>
      <w:r>
        <w:rPr>
          <w:rFonts w:hint="eastAsia" w:ascii="Times New Roman" w:hAnsi="Times New Roman"/>
          <w:szCs w:val="28"/>
        </w:rPr>
        <w:t xml:space="preserve">，主要测算公式及边界条件细化如下： </w:t>
      </w:r>
    </w:p>
    <w:p>
      <w:pPr>
        <w:ind w:firstLine="560"/>
        <w:rPr>
          <w:rFonts w:ascii="Times New Roman" w:hAnsi="Times New Roman"/>
          <w:szCs w:val="28"/>
        </w:rPr>
      </w:pPr>
      <w:r>
        <w:rPr>
          <w:rFonts w:hint="eastAsia" w:ascii="Times New Roman" w:hAnsi="Times New Roman"/>
          <w:szCs w:val="28"/>
        </w:rPr>
        <w:t>运营期当年政府补贴＝当年资金成本+当年运营成本－当年使用者付费</w:t>
      </w:r>
    </w:p>
    <w:p>
      <w:pPr>
        <w:ind w:firstLine="560"/>
        <w:rPr>
          <w:rFonts w:ascii="Times New Roman" w:hAnsi="Times New Roman"/>
          <w:szCs w:val="28"/>
        </w:rPr>
      </w:pPr>
      <w:r>
        <w:rPr>
          <w:rFonts w:hint="eastAsia" w:ascii="Times New Roman" w:hAnsi="Times New Roman"/>
          <w:szCs w:val="28"/>
        </w:rPr>
        <w:t>当年资金成本＝社会资本资本金收益+融资成本</w:t>
      </w:r>
    </w:p>
    <w:p>
      <w:pPr>
        <w:ind w:firstLine="560"/>
        <w:rPr>
          <w:rFonts w:ascii="Times New Roman" w:hAnsi="Times New Roman"/>
          <w:szCs w:val="28"/>
        </w:rPr>
      </w:pPr>
      <w:r>
        <w:rPr>
          <w:rFonts w:hint="eastAsia" w:ascii="Times New Roman" w:hAnsi="Times New Roman"/>
          <w:szCs w:val="28"/>
        </w:rPr>
        <w:t>社会资本资本金收益＝社会资本资本金×年度折现率×（1+年度折现率）</w:t>
      </w:r>
      <w:r>
        <w:rPr>
          <w:rFonts w:hint="eastAsia" w:ascii="Times New Roman" w:hAnsi="Times New Roman"/>
          <w:szCs w:val="28"/>
          <w:vertAlign w:val="superscript"/>
        </w:rPr>
        <w:t>n1</w:t>
      </w:r>
      <w:r>
        <w:rPr>
          <w:rFonts w:hint="eastAsia" w:ascii="Times New Roman" w:hAnsi="Times New Roman"/>
          <w:szCs w:val="28"/>
        </w:rPr>
        <w:t>÷[（1+年度折现率）</w:t>
      </w:r>
      <w:r>
        <w:rPr>
          <w:rFonts w:hint="eastAsia" w:ascii="Times New Roman" w:hAnsi="Times New Roman"/>
          <w:szCs w:val="28"/>
          <w:vertAlign w:val="superscript"/>
        </w:rPr>
        <w:t>n1</w:t>
      </w:r>
      <w:r>
        <w:rPr>
          <w:rFonts w:hint="eastAsia" w:ascii="Times New Roman" w:hAnsi="Times New Roman"/>
          <w:szCs w:val="28"/>
        </w:rPr>
        <w:t>-1]×（1+合理利润率）</w:t>
      </w:r>
    </w:p>
    <w:p>
      <w:pPr>
        <w:ind w:firstLine="560"/>
        <w:rPr>
          <w:rFonts w:ascii="Times New Roman" w:hAnsi="Times New Roman"/>
          <w:szCs w:val="28"/>
        </w:rPr>
      </w:pPr>
      <w:r>
        <w:rPr>
          <w:rFonts w:hint="eastAsia" w:ascii="Times New Roman" w:hAnsi="Times New Roman"/>
          <w:szCs w:val="28"/>
        </w:rPr>
        <w:t>融资成本＝建设期贷款本息×融资成本率×（1+融资成本率）</w:t>
      </w:r>
      <w:r>
        <w:rPr>
          <w:rFonts w:hint="eastAsia" w:ascii="Times New Roman" w:hAnsi="Times New Roman"/>
          <w:szCs w:val="28"/>
          <w:vertAlign w:val="superscript"/>
        </w:rPr>
        <w:t>n2</w:t>
      </w:r>
      <w:r>
        <w:rPr>
          <w:rFonts w:hint="eastAsia" w:ascii="Times New Roman" w:hAnsi="Times New Roman"/>
          <w:szCs w:val="28"/>
        </w:rPr>
        <w:t>÷[（1+融资成本率）</w:t>
      </w:r>
      <w:r>
        <w:rPr>
          <w:rFonts w:hint="eastAsia" w:ascii="Times New Roman" w:hAnsi="Times New Roman"/>
          <w:szCs w:val="28"/>
          <w:vertAlign w:val="superscript"/>
        </w:rPr>
        <w:t>n2</w:t>
      </w:r>
      <w:r>
        <w:rPr>
          <w:rFonts w:hint="eastAsia" w:ascii="Times New Roman" w:hAnsi="Times New Roman"/>
          <w:szCs w:val="28"/>
        </w:rPr>
        <w:t>-1]</w:t>
      </w:r>
    </w:p>
    <w:p>
      <w:pPr>
        <w:ind w:firstLine="560"/>
        <w:rPr>
          <w:rFonts w:ascii="Times New Roman" w:hAnsi="Times New Roman"/>
          <w:szCs w:val="28"/>
        </w:rPr>
      </w:pPr>
      <w:r>
        <w:rPr>
          <w:rFonts w:hint="eastAsia" w:ascii="Times New Roman" w:hAnsi="Times New Roman"/>
          <w:szCs w:val="28"/>
        </w:rPr>
        <w:t>当年运营成本＝当年经营成本×（1+合理利润率）</w:t>
      </w:r>
    </w:p>
    <w:p>
      <w:pPr>
        <w:ind w:firstLine="560"/>
        <w:rPr>
          <w:rFonts w:ascii="Times New Roman" w:hAnsi="Times New Roman"/>
          <w:szCs w:val="28"/>
        </w:rPr>
      </w:pPr>
      <w:r>
        <w:rPr>
          <w:rFonts w:hint="eastAsia" w:ascii="Times New Roman" w:hAnsi="Times New Roman"/>
          <w:szCs w:val="28"/>
        </w:rPr>
        <w:t>当年使用者付费＝当年经营收入</w:t>
      </w:r>
    </w:p>
    <w:p>
      <w:pPr>
        <w:ind w:firstLine="560"/>
        <w:rPr>
          <w:rFonts w:ascii="Times New Roman" w:hAnsi="Times New Roman"/>
          <w:szCs w:val="28"/>
        </w:rPr>
      </w:pPr>
      <w:r>
        <w:rPr>
          <w:rFonts w:hint="eastAsia" w:ascii="Times New Roman" w:hAnsi="Times New Roman"/>
          <w:szCs w:val="28"/>
        </w:rPr>
        <w:t>注：</w:t>
      </w:r>
    </w:p>
    <w:p>
      <w:pPr>
        <w:ind w:firstLine="560"/>
        <w:rPr>
          <w:rFonts w:ascii="Times New Roman" w:hAnsi="Times New Roman"/>
          <w:szCs w:val="28"/>
        </w:rPr>
      </w:pPr>
      <w:r>
        <w:rPr>
          <w:rFonts w:hint="eastAsia" w:ascii="Times New Roman" w:hAnsi="Times New Roman"/>
          <w:szCs w:val="28"/>
        </w:rPr>
        <w:t>n1：运营补贴期，本项目为20年；</w:t>
      </w:r>
    </w:p>
    <w:p>
      <w:pPr>
        <w:ind w:firstLine="560"/>
        <w:rPr>
          <w:rFonts w:ascii="Times New Roman" w:hAnsi="Times New Roman"/>
          <w:szCs w:val="28"/>
        </w:rPr>
      </w:pPr>
      <w:r>
        <w:rPr>
          <w:rFonts w:hint="eastAsia" w:ascii="Times New Roman" w:hAnsi="Times New Roman"/>
          <w:szCs w:val="28"/>
        </w:rPr>
        <w:t>n2：贷款偿还期，等于运营补贴期。</w:t>
      </w:r>
    </w:p>
    <w:p>
      <w:pPr>
        <w:pStyle w:val="4"/>
        <w:ind w:firstLine="562"/>
      </w:pPr>
      <w:bookmarkStart w:id="109" w:name="_Toc468088632"/>
      <w:r>
        <w:t>4.4.3 调价机制</w:t>
      </w:r>
      <w:bookmarkEnd w:id="108"/>
      <w:bookmarkEnd w:id="109"/>
    </w:p>
    <w:p>
      <w:pPr>
        <w:ind w:firstLine="560"/>
        <w:rPr>
          <w:rFonts w:ascii="Times New Roman" w:hAnsi="Times New Roman"/>
          <w:color w:val="000000" w:themeColor="text1"/>
          <w:szCs w:val="28"/>
        </w:rPr>
      </w:pPr>
      <w:r>
        <w:rPr>
          <w:rFonts w:hint="eastAsia" w:ascii="Times New Roman" w:hAnsi="Times New Roman"/>
          <w:color w:val="000000" w:themeColor="text1"/>
          <w:szCs w:val="28"/>
        </w:rPr>
        <w:t>（1）边界条件变化导致的调整</w:t>
      </w:r>
    </w:p>
    <w:p>
      <w:pPr>
        <w:ind w:firstLine="560"/>
        <w:rPr>
          <w:rFonts w:ascii="Times New Roman" w:hAnsi="Times New Roman"/>
          <w:color w:val="000000" w:themeColor="text1"/>
          <w:szCs w:val="28"/>
        </w:rPr>
      </w:pPr>
      <w:r>
        <w:rPr>
          <w:rFonts w:hint="eastAsia" w:ascii="Times New Roman" w:hAnsi="Times New Roman"/>
          <w:color w:val="000000" w:themeColor="text1"/>
          <w:szCs w:val="28"/>
        </w:rPr>
        <w:t>对于在PPP项目合同签订期到项目实际实施期间，若发生设计标准、投资规模、建设内容、收费标准等非社会资本方原因引起的边界条件变化，按PPP项目合同约定的收益测算条件和参数重新测算后，报相关部门批准，调整政府补助金额和对应的PPP项目合同条款。</w:t>
      </w:r>
    </w:p>
    <w:p>
      <w:pPr>
        <w:ind w:firstLine="560"/>
        <w:rPr>
          <w:rFonts w:ascii="Times New Roman" w:hAnsi="Times New Roman"/>
          <w:color w:val="000000" w:themeColor="text1"/>
          <w:szCs w:val="28"/>
        </w:rPr>
      </w:pPr>
      <w:r>
        <w:rPr>
          <w:rFonts w:hint="eastAsia" w:ascii="Times New Roman" w:hAnsi="Times New Roman"/>
          <w:color w:val="000000" w:themeColor="text1"/>
          <w:szCs w:val="28"/>
        </w:rPr>
        <w:t>（2）使用者付费的调整</w:t>
      </w:r>
    </w:p>
    <w:p>
      <w:pPr>
        <w:ind w:firstLine="560"/>
        <w:rPr>
          <w:rFonts w:ascii="Times New Roman" w:hAnsi="Times New Roman"/>
          <w:color w:val="000000" w:themeColor="text1"/>
          <w:szCs w:val="28"/>
        </w:rPr>
      </w:pPr>
      <w:r>
        <w:rPr>
          <w:rFonts w:hint="eastAsia" w:ascii="Times New Roman" w:hAnsi="Times New Roman"/>
          <w:color w:val="000000" w:themeColor="text1"/>
          <w:szCs w:val="28"/>
        </w:rPr>
        <w:t>项目特许经营期间，收费单价的调整按国家及地方相关政策规定执行。项目公司根据相关规定计算调价幅度，向行政主管部门提出调价申请，经批准后执行。</w:t>
      </w:r>
    </w:p>
    <w:p>
      <w:pPr>
        <w:ind w:firstLine="560"/>
        <w:rPr>
          <w:rFonts w:ascii="Times New Roman" w:hAnsi="Times New Roman"/>
          <w:color w:val="000000" w:themeColor="text1"/>
          <w:szCs w:val="28"/>
        </w:rPr>
      </w:pPr>
      <w:r>
        <w:rPr>
          <w:rFonts w:hint="eastAsia" w:ascii="Times New Roman" w:hAnsi="Times New Roman"/>
          <w:color w:val="000000" w:themeColor="text1"/>
          <w:szCs w:val="28"/>
        </w:rPr>
        <w:t>（3）政府补助的调整机制</w:t>
      </w:r>
    </w:p>
    <w:p>
      <w:pPr>
        <w:ind w:firstLine="560"/>
        <w:rPr>
          <w:rFonts w:ascii="Times New Roman" w:hAnsi="Times New Roman"/>
          <w:color w:val="000000" w:themeColor="text1"/>
          <w:szCs w:val="28"/>
        </w:rPr>
      </w:pPr>
      <w:r>
        <w:t>区粮食局</w:t>
      </w:r>
      <w:r>
        <w:rPr>
          <w:rFonts w:hint="eastAsia" w:ascii="Times New Roman" w:hAnsi="Times New Roman"/>
          <w:color w:val="000000" w:themeColor="text1"/>
          <w:szCs w:val="28"/>
        </w:rPr>
        <w:t>牵头委托审计部门或中介机构每年按约定对本项目进行审计或绩效考核，依据审计或绩效考核结果确定的实际运营收入和成本支出，按照PPP项目合同约定的调整机制和调整方法，调整政府补助额度，纳入年度预算统筹安排，按年度支付。</w:t>
      </w:r>
    </w:p>
    <w:p>
      <w:pPr>
        <w:pStyle w:val="4"/>
        <w:ind w:firstLine="562"/>
      </w:pPr>
      <w:bookmarkStart w:id="110" w:name="_Toc468088633"/>
      <w:bookmarkStart w:id="111" w:name="_Toc30556"/>
      <w:r>
        <w:t>4.4.4 超额收益共享机制</w:t>
      </w:r>
      <w:bookmarkEnd w:id="110"/>
      <w:bookmarkEnd w:id="111"/>
    </w:p>
    <w:p>
      <w:pPr>
        <w:ind w:firstLine="560"/>
        <w:rPr>
          <w:rFonts w:ascii="Times New Roman" w:hAnsi="Times New Roman"/>
          <w:szCs w:val="28"/>
        </w:rPr>
      </w:pPr>
      <w:r>
        <w:rPr>
          <w:rFonts w:hint="eastAsia" w:ascii="Times New Roman" w:hAnsi="Times New Roman"/>
          <w:szCs w:val="28"/>
        </w:rPr>
        <w:t>按现有数据测算，本项目为可行性缺口补助，使用者付费产生的收益不能覆盖社会资本的投资及合理回报。若项目将来产生超额收益，拟按如下方式分配：</w:t>
      </w:r>
    </w:p>
    <w:p>
      <w:pPr>
        <w:ind w:firstLine="560"/>
        <w:rPr>
          <w:rFonts w:ascii="Times New Roman" w:hAnsi="Times New Roman"/>
          <w:szCs w:val="28"/>
        </w:rPr>
      </w:pPr>
      <w:r>
        <w:rPr>
          <w:rFonts w:hint="eastAsia" w:ascii="Times New Roman" w:hAnsi="Times New Roman"/>
          <w:szCs w:val="28"/>
        </w:rPr>
        <w:t>当使用者付费等于或者高于超额收益临界点时，政府不再对项目公司进行可行性缺口补助。对高于超额收益临界点以上部分，视作项目超额收益，社会资本按照40%的比例分配，政府按照60%的比例分配。</w:t>
      </w:r>
    </w:p>
    <w:p>
      <w:pPr>
        <w:ind w:firstLine="560"/>
        <w:rPr>
          <w:rFonts w:ascii="Times New Roman" w:hAnsi="Times New Roman"/>
          <w:szCs w:val="28"/>
        </w:rPr>
      </w:pPr>
      <w:r>
        <w:rPr>
          <w:rFonts w:hint="eastAsia" w:ascii="Times New Roman" w:hAnsi="Times New Roman"/>
          <w:szCs w:val="28"/>
        </w:rPr>
        <w:t>超额收益临界点：当年使用者付费=当年资金成本+当年运营成本＋当年应缴税费。</w:t>
      </w:r>
    </w:p>
    <w:p>
      <w:pPr>
        <w:ind w:firstLine="560"/>
        <w:rPr>
          <w:rFonts w:ascii="Times New Roman" w:hAnsi="Times New Roman"/>
          <w:szCs w:val="28"/>
        </w:rPr>
      </w:pPr>
      <w:r>
        <w:rPr>
          <w:rFonts w:hint="eastAsia" w:ascii="Times New Roman" w:hAnsi="Times New Roman"/>
          <w:szCs w:val="28"/>
        </w:rPr>
        <w:t>具体超额收益分配机制以合同约定为准</w:t>
      </w:r>
      <w:r>
        <w:rPr>
          <w:rFonts w:ascii="Times New Roman" w:hAnsi="Times New Roman"/>
          <w:szCs w:val="28"/>
        </w:rPr>
        <w:t>。</w:t>
      </w:r>
    </w:p>
    <w:p>
      <w:pPr>
        <w:pStyle w:val="4"/>
        <w:ind w:firstLine="562"/>
      </w:pPr>
      <w:bookmarkStart w:id="112" w:name="_Toc468088634"/>
      <w:r>
        <w:t>4.4.5 最低需求保障</w:t>
      </w:r>
      <w:bookmarkEnd w:id="112"/>
    </w:p>
    <w:p>
      <w:pPr>
        <w:ind w:firstLine="560"/>
        <w:rPr>
          <w:rFonts w:ascii="Times New Roman" w:hAnsi="Times New Roman"/>
          <w:color w:val="000000" w:themeColor="text1"/>
          <w:szCs w:val="28"/>
        </w:rPr>
      </w:pPr>
      <w:r>
        <w:t>为合理分担风险，保障社会资本的合理收益，本项目设置最低需求保障。</w:t>
      </w:r>
      <w:r>
        <w:rPr>
          <w:color w:val="000000" w:themeColor="text1"/>
        </w:rPr>
        <w:t>当储备粮保管量2018-2022</w:t>
      </w:r>
      <w:r>
        <w:rPr>
          <w:rFonts w:hint="eastAsia"/>
          <w:color w:val="000000" w:themeColor="text1"/>
        </w:rPr>
        <w:t>年</w:t>
      </w:r>
      <w:r>
        <w:rPr>
          <w:color w:val="000000" w:themeColor="text1"/>
        </w:rPr>
        <w:t>未达</w:t>
      </w:r>
      <w:r>
        <w:rPr>
          <w:rFonts w:hint="eastAsia"/>
          <w:color w:val="000000" w:themeColor="text1"/>
        </w:rPr>
        <w:t>362</w:t>
      </w:r>
      <w:r>
        <w:rPr>
          <w:color w:val="000000" w:themeColor="text1"/>
        </w:rPr>
        <w:t>00吨/年、2023-2027</w:t>
      </w:r>
      <w:r>
        <w:rPr>
          <w:rFonts w:hint="eastAsia"/>
          <w:color w:val="000000" w:themeColor="text1"/>
        </w:rPr>
        <w:t>年未达462</w:t>
      </w:r>
      <w:r>
        <w:rPr>
          <w:color w:val="000000" w:themeColor="text1"/>
        </w:rPr>
        <w:t>00</w:t>
      </w:r>
      <w:r>
        <w:rPr>
          <w:rFonts w:hint="eastAsia"/>
          <w:color w:val="000000" w:themeColor="text1"/>
        </w:rPr>
        <w:t>吨</w:t>
      </w:r>
      <w:r>
        <w:rPr>
          <w:color w:val="000000" w:themeColor="text1"/>
        </w:rPr>
        <w:t>/</w:t>
      </w:r>
      <w:r>
        <w:rPr>
          <w:rFonts w:hint="eastAsia"/>
          <w:color w:val="000000" w:themeColor="text1"/>
        </w:rPr>
        <w:t>年、</w:t>
      </w:r>
      <w:r>
        <w:rPr>
          <w:color w:val="000000" w:themeColor="text1"/>
        </w:rPr>
        <w:t>2028-2032</w:t>
      </w:r>
      <w:r>
        <w:rPr>
          <w:rFonts w:hint="eastAsia"/>
          <w:color w:val="000000" w:themeColor="text1"/>
        </w:rPr>
        <w:t>年未达562</w:t>
      </w:r>
      <w:r>
        <w:rPr>
          <w:color w:val="000000" w:themeColor="text1"/>
        </w:rPr>
        <w:t>00</w:t>
      </w:r>
      <w:r>
        <w:rPr>
          <w:rFonts w:hint="eastAsia"/>
          <w:color w:val="000000" w:themeColor="text1"/>
        </w:rPr>
        <w:t>吨</w:t>
      </w:r>
      <w:r>
        <w:rPr>
          <w:color w:val="000000" w:themeColor="text1"/>
        </w:rPr>
        <w:t>/</w:t>
      </w:r>
      <w:r>
        <w:rPr>
          <w:rFonts w:hint="eastAsia"/>
          <w:color w:val="000000" w:themeColor="text1"/>
        </w:rPr>
        <w:t>年、</w:t>
      </w:r>
      <w:r>
        <w:rPr>
          <w:color w:val="000000" w:themeColor="text1"/>
        </w:rPr>
        <w:t>2033-2037</w:t>
      </w:r>
      <w:r>
        <w:rPr>
          <w:rFonts w:hint="eastAsia"/>
          <w:color w:val="000000" w:themeColor="text1"/>
        </w:rPr>
        <w:t>年未达662</w:t>
      </w:r>
      <w:r>
        <w:rPr>
          <w:color w:val="000000" w:themeColor="text1"/>
        </w:rPr>
        <w:t>00</w:t>
      </w:r>
      <w:r>
        <w:rPr>
          <w:rFonts w:hint="eastAsia"/>
          <w:color w:val="000000" w:themeColor="text1"/>
        </w:rPr>
        <w:t>吨</w:t>
      </w:r>
      <w:r>
        <w:rPr>
          <w:color w:val="000000" w:themeColor="text1"/>
        </w:rPr>
        <w:t>/</w:t>
      </w:r>
      <w:r>
        <w:rPr>
          <w:rFonts w:hint="eastAsia"/>
          <w:color w:val="000000" w:themeColor="text1"/>
        </w:rPr>
        <w:t>年、</w:t>
      </w:r>
      <w:r>
        <w:rPr>
          <w:color w:val="000000" w:themeColor="text1"/>
        </w:rPr>
        <w:t>储备油罐仓储量未达到1500吨/年时，由政府补贴项目公司不足部分的收益</w:t>
      </w:r>
      <w:r>
        <w:rPr>
          <w:rFonts w:hint="eastAsia"/>
          <w:color w:val="000000" w:themeColor="text1"/>
        </w:rPr>
        <w:t>。如储备粮油保管费单价调整，仍按照调整前单价计算保管费</w:t>
      </w:r>
      <w:r>
        <w:rPr>
          <w:color w:val="000000" w:themeColor="text1"/>
        </w:rPr>
        <w:t>。</w:t>
      </w:r>
    </w:p>
    <w:p>
      <w:pPr>
        <w:pStyle w:val="3"/>
        <w:spacing w:before="200" w:after="200" w:line="560" w:lineRule="exact"/>
        <w:ind w:firstLine="562"/>
        <w:jc w:val="left"/>
        <w:rPr>
          <w:rFonts w:ascii="Times New Roman" w:hAnsi="Times New Roman"/>
          <w:szCs w:val="28"/>
        </w:rPr>
      </w:pPr>
      <w:bookmarkStart w:id="113" w:name="_Toc468088635"/>
      <w:bookmarkStart w:id="114" w:name="_Toc22096"/>
      <w:r>
        <w:rPr>
          <w:rFonts w:ascii="Times New Roman" w:hAnsi="Times New Roman"/>
          <w:szCs w:val="28"/>
        </w:rPr>
        <w:t>4.5 绩效机制</w:t>
      </w:r>
      <w:bookmarkEnd w:id="113"/>
      <w:bookmarkEnd w:id="114"/>
    </w:p>
    <w:p>
      <w:pPr>
        <w:pStyle w:val="4"/>
        <w:ind w:firstLine="562"/>
      </w:pPr>
      <w:bookmarkStart w:id="115" w:name="_Toc5610"/>
      <w:bookmarkStart w:id="116" w:name="_Toc468088636"/>
      <w:r>
        <w:t>4.5.1 绩效指标体系</w:t>
      </w:r>
      <w:bookmarkEnd w:id="115"/>
      <w:bookmarkEnd w:id="116"/>
    </w:p>
    <w:p>
      <w:pPr>
        <w:ind w:firstLine="560"/>
        <w:rPr>
          <w:color w:val="000000" w:themeColor="text1"/>
        </w:rPr>
      </w:pPr>
      <w:r>
        <w:rPr>
          <w:color w:val="000000" w:themeColor="text1"/>
        </w:rPr>
        <w:t>根据财政部《财政支出绩效评价管理暂行办法》（财预〔2011〕285 号）、《关于推进预算绩效管理的指导意见》（财预〔2011〕416 号）等相关文件，结合《全国粮食市场体系建设“十二五”规划》等制定符合本项目特点的绩效考核体系，本体系分为可用性服务绩效考核指标和运维服务绩效考核指标，分别针对项目的不同时期进行绩效评价。绩效考核体系作为PPP项目合同的组成部分，便于政府主管部门对项目全生命周期进行绩效监控和量化考核。</w:t>
      </w:r>
    </w:p>
    <w:p>
      <w:pPr>
        <w:pStyle w:val="29"/>
        <w:ind w:firstLine="0" w:firstLineChars="0"/>
        <w:jc w:val="center"/>
        <w:rPr>
          <w:rFonts w:ascii="Times New Roman" w:eastAsia="宋体"/>
          <w:b/>
          <w:bCs/>
          <w:color w:val="000000"/>
        </w:rPr>
      </w:pPr>
      <w:r>
        <w:rPr>
          <w:rFonts w:hint="eastAsia" w:ascii="Times New Roman" w:eastAsia="宋体"/>
          <w:b/>
          <w:bCs/>
          <w:color w:val="000000"/>
        </w:rPr>
        <w:t>绩效指标体系</w:t>
      </w:r>
    </w:p>
    <w:tbl>
      <w:tblPr>
        <w:tblStyle w:val="22"/>
        <w:tblW w:w="7834"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792"/>
        <w:gridCol w:w="1134"/>
        <w:gridCol w:w="2126"/>
        <w:gridCol w:w="641"/>
        <w:gridCol w:w="314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27" w:hRule="atLeast"/>
          <w:tblHeader/>
          <w:jc w:val="center"/>
        </w:trPr>
        <w:tc>
          <w:tcPr>
            <w:tcW w:w="792" w:type="dxa"/>
            <w:tcBorders>
              <w:top w:val="double" w:color="auto" w:sz="4" w:space="0"/>
            </w:tcBorders>
            <w:shd w:val="clear" w:color="auto" w:fill="FBE4D5"/>
            <w:vAlign w:val="center"/>
          </w:tcPr>
          <w:p>
            <w:pPr>
              <w:pStyle w:val="88"/>
            </w:pPr>
            <w:r>
              <w:t>体系名称</w:t>
            </w:r>
          </w:p>
        </w:tc>
        <w:tc>
          <w:tcPr>
            <w:tcW w:w="1134" w:type="dxa"/>
            <w:tcBorders>
              <w:top w:val="double" w:color="auto" w:sz="4" w:space="0"/>
            </w:tcBorders>
            <w:shd w:val="clear" w:color="auto" w:fill="FBE4D5"/>
            <w:vAlign w:val="center"/>
          </w:tcPr>
          <w:p>
            <w:pPr>
              <w:pStyle w:val="88"/>
            </w:pPr>
            <w:r>
              <w:t>考核项目</w:t>
            </w:r>
          </w:p>
        </w:tc>
        <w:tc>
          <w:tcPr>
            <w:tcW w:w="2126" w:type="dxa"/>
            <w:tcBorders>
              <w:top w:val="double" w:color="auto" w:sz="4" w:space="0"/>
            </w:tcBorders>
            <w:shd w:val="clear" w:color="auto" w:fill="FBE4D5"/>
            <w:vAlign w:val="center"/>
          </w:tcPr>
          <w:p>
            <w:pPr>
              <w:pStyle w:val="88"/>
            </w:pPr>
            <w:r>
              <w:t>考核内容</w:t>
            </w:r>
          </w:p>
        </w:tc>
        <w:tc>
          <w:tcPr>
            <w:tcW w:w="641" w:type="dxa"/>
            <w:tcBorders>
              <w:top w:val="double" w:color="auto" w:sz="4" w:space="0"/>
            </w:tcBorders>
            <w:shd w:val="clear" w:color="auto" w:fill="FBE4D5"/>
            <w:vAlign w:val="center"/>
          </w:tcPr>
          <w:p>
            <w:pPr>
              <w:pStyle w:val="88"/>
            </w:pPr>
            <w:r>
              <w:t>满分</w:t>
            </w:r>
          </w:p>
        </w:tc>
        <w:tc>
          <w:tcPr>
            <w:tcW w:w="3141" w:type="dxa"/>
            <w:tcBorders>
              <w:top w:val="double" w:color="auto" w:sz="4" w:space="0"/>
            </w:tcBorders>
            <w:shd w:val="clear" w:color="auto" w:fill="FBE4D5"/>
            <w:vAlign w:val="center"/>
          </w:tcPr>
          <w:p>
            <w:pPr>
              <w:pStyle w:val="88"/>
            </w:pPr>
            <w:r>
              <w:t>评分标准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27" w:hRule="atLeast"/>
          <w:jc w:val="center"/>
        </w:trPr>
        <w:tc>
          <w:tcPr>
            <w:tcW w:w="792" w:type="dxa"/>
            <w:vMerge w:val="restart"/>
            <w:vAlign w:val="center"/>
          </w:tcPr>
          <w:p>
            <w:pPr>
              <w:pStyle w:val="88"/>
            </w:pPr>
            <w:r>
              <w:t>可用性服务绩效考核指标</w:t>
            </w:r>
          </w:p>
        </w:tc>
        <w:tc>
          <w:tcPr>
            <w:tcW w:w="1134" w:type="dxa"/>
            <w:vAlign w:val="center"/>
          </w:tcPr>
          <w:p>
            <w:pPr>
              <w:pStyle w:val="88"/>
            </w:pPr>
            <w:r>
              <w:t>工程质量</w:t>
            </w:r>
          </w:p>
        </w:tc>
        <w:tc>
          <w:tcPr>
            <w:tcW w:w="2126" w:type="dxa"/>
            <w:vAlign w:val="center"/>
          </w:tcPr>
          <w:p>
            <w:pPr>
              <w:pStyle w:val="88"/>
            </w:pPr>
            <w:r>
              <w:t>验收质量目标：按合同约定</w:t>
            </w:r>
          </w:p>
        </w:tc>
        <w:tc>
          <w:tcPr>
            <w:tcW w:w="641" w:type="dxa"/>
            <w:vAlign w:val="center"/>
          </w:tcPr>
          <w:p>
            <w:pPr>
              <w:pStyle w:val="88"/>
            </w:pPr>
            <w:r>
              <w:t>25</w:t>
            </w:r>
          </w:p>
        </w:tc>
        <w:tc>
          <w:tcPr>
            <w:tcW w:w="3141" w:type="dxa"/>
            <w:vAlign w:val="center"/>
          </w:tcPr>
          <w:p>
            <w:pPr>
              <w:pStyle w:val="88"/>
            </w:pPr>
            <w:r>
              <w:t>验收质量未满足合同约定，不得分；每整改一次，扣5分。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27" w:hRule="atLeast"/>
          <w:jc w:val="center"/>
        </w:trPr>
        <w:tc>
          <w:tcPr>
            <w:tcW w:w="792" w:type="dxa"/>
            <w:vMerge w:val="continue"/>
            <w:vAlign w:val="center"/>
          </w:tcPr>
          <w:p>
            <w:pPr>
              <w:pStyle w:val="88"/>
            </w:pPr>
          </w:p>
        </w:tc>
        <w:tc>
          <w:tcPr>
            <w:tcW w:w="1134" w:type="dxa"/>
            <w:vAlign w:val="center"/>
          </w:tcPr>
          <w:p>
            <w:pPr>
              <w:pStyle w:val="88"/>
            </w:pPr>
            <w:r>
              <w:t>工程安全</w:t>
            </w:r>
          </w:p>
        </w:tc>
        <w:tc>
          <w:tcPr>
            <w:tcW w:w="2126" w:type="dxa"/>
            <w:vAlign w:val="center"/>
          </w:tcPr>
          <w:p>
            <w:pPr>
              <w:pStyle w:val="88"/>
            </w:pPr>
            <w:r>
              <w:t>安全事故发生率符合云南省相关规定</w:t>
            </w:r>
          </w:p>
        </w:tc>
        <w:tc>
          <w:tcPr>
            <w:tcW w:w="641" w:type="dxa"/>
            <w:vAlign w:val="center"/>
          </w:tcPr>
          <w:p>
            <w:pPr>
              <w:pStyle w:val="88"/>
            </w:pPr>
            <w:r>
              <w:t>20</w:t>
            </w:r>
          </w:p>
        </w:tc>
        <w:tc>
          <w:tcPr>
            <w:tcW w:w="3141" w:type="dxa"/>
            <w:vAlign w:val="center"/>
          </w:tcPr>
          <w:p>
            <w:pPr>
              <w:pStyle w:val="88"/>
            </w:pPr>
            <w:r>
              <w:t>发生重大安全事故，不得分；发生安全事故根据事故大小、严重程度，每次扣1～5分。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27" w:hRule="atLeast"/>
          <w:jc w:val="center"/>
        </w:trPr>
        <w:tc>
          <w:tcPr>
            <w:tcW w:w="792" w:type="dxa"/>
            <w:vMerge w:val="continue"/>
            <w:vAlign w:val="center"/>
          </w:tcPr>
          <w:p>
            <w:pPr>
              <w:pStyle w:val="88"/>
            </w:pPr>
          </w:p>
        </w:tc>
        <w:tc>
          <w:tcPr>
            <w:tcW w:w="1134" w:type="dxa"/>
            <w:vAlign w:val="center"/>
          </w:tcPr>
          <w:p>
            <w:pPr>
              <w:pStyle w:val="88"/>
            </w:pPr>
            <w:r>
              <w:t>工期目标</w:t>
            </w:r>
          </w:p>
        </w:tc>
        <w:tc>
          <w:tcPr>
            <w:tcW w:w="2126" w:type="dxa"/>
            <w:vAlign w:val="center"/>
          </w:tcPr>
          <w:p>
            <w:pPr>
              <w:pStyle w:val="88"/>
            </w:pPr>
            <w:r>
              <w:t>按合同约定</w:t>
            </w:r>
          </w:p>
        </w:tc>
        <w:tc>
          <w:tcPr>
            <w:tcW w:w="641" w:type="dxa"/>
            <w:vAlign w:val="center"/>
          </w:tcPr>
          <w:p>
            <w:pPr>
              <w:pStyle w:val="88"/>
            </w:pPr>
            <w:r>
              <w:t>25</w:t>
            </w:r>
          </w:p>
        </w:tc>
        <w:tc>
          <w:tcPr>
            <w:tcW w:w="3141" w:type="dxa"/>
            <w:vAlign w:val="center"/>
          </w:tcPr>
          <w:p>
            <w:pPr>
              <w:pStyle w:val="88"/>
            </w:pPr>
            <w:r>
              <w:t>因自身原因不能按时开竣工，不得分；因不可抗力原因发生工期延误，不扣分。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27" w:hRule="atLeast"/>
          <w:jc w:val="center"/>
        </w:trPr>
        <w:tc>
          <w:tcPr>
            <w:tcW w:w="792" w:type="dxa"/>
            <w:vMerge w:val="continue"/>
            <w:vAlign w:val="center"/>
          </w:tcPr>
          <w:p>
            <w:pPr>
              <w:pStyle w:val="88"/>
            </w:pPr>
          </w:p>
        </w:tc>
        <w:tc>
          <w:tcPr>
            <w:tcW w:w="1134" w:type="dxa"/>
          </w:tcPr>
          <w:p>
            <w:pPr>
              <w:pStyle w:val="88"/>
            </w:pPr>
            <w:r>
              <w:t>造价目标</w:t>
            </w:r>
          </w:p>
        </w:tc>
        <w:tc>
          <w:tcPr>
            <w:tcW w:w="2126" w:type="dxa"/>
          </w:tcPr>
          <w:p>
            <w:pPr>
              <w:pStyle w:val="88"/>
            </w:pPr>
            <w:r>
              <w:t>不超审定的概算</w:t>
            </w:r>
          </w:p>
        </w:tc>
        <w:tc>
          <w:tcPr>
            <w:tcW w:w="641" w:type="dxa"/>
          </w:tcPr>
          <w:p>
            <w:pPr>
              <w:pStyle w:val="88"/>
            </w:pPr>
            <w:r>
              <w:t>15</w:t>
            </w:r>
          </w:p>
        </w:tc>
        <w:tc>
          <w:tcPr>
            <w:tcW w:w="3141" w:type="dxa"/>
            <w:vAlign w:val="center"/>
          </w:tcPr>
          <w:p>
            <w:pPr>
              <w:pStyle w:val="88"/>
            </w:pPr>
            <w:r>
              <w:t>超出合同约定比例不得分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27" w:hRule="atLeast"/>
          <w:jc w:val="center"/>
        </w:trPr>
        <w:tc>
          <w:tcPr>
            <w:tcW w:w="792" w:type="dxa"/>
            <w:vMerge w:val="continue"/>
            <w:vAlign w:val="center"/>
          </w:tcPr>
          <w:p>
            <w:pPr>
              <w:pStyle w:val="88"/>
            </w:pPr>
          </w:p>
        </w:tc>
        <w:tc>
          <w:tcPr>
            <w:tcW w:w="1134" w:type="dxa"/>
            <w:vAlign w:val="center"/>
          </w:tcPr>
          <w:p>
            <w:pPr>
              <w:pStyle w:val="88"/>
            </w:pPr>
            <w:r>
              <w:t>工程材料要求</w:t>
            </w:r>
          </w:p>
        </w:tc>
        <w:tc>
          <w:tcPr>
            <w:tcW w:w="2126" w:type="dxa"/>
            <w:vAlign w:val="center"/>
          </w:tcPr>
          <w:p>
            <w:pPr>
              <w:pStyle w:val="88"/>
            </w:pPr>
            <w:r>
              <w:t>满足设计要求及使用年限</w:t>
            </w:r>
          </w:p>
        </w:tc>
        <w:tc>
          <w:tcPr>
            <w:tcW w:w="641" w:type="dxa"/>
            <w:vAlign w:val="center"/>
          </w:tcPr>
          <w:p>
            <w:pPr>
              <w:pStyle w:val="88"/>
            </w:pPr>
            <w:r>
              <w:t>5</w:t>
            </w:r>
          </w:p>
        </w:tc>
        <w:tc>
          <w:tcPr>
            <w:tcW w:w="3141" w:type="dxa"/>
            <w:vAlign w:val="center"/>
          </w:tcPr>
          <w:p>
            <w:pPr>
              <w:pStyle w:val="88"/>
            </w:pPr>
            <w:r>
              <w:t>不满足设计要求及使用年限，不得分；每发现一次，扣1分。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27" w:hRule="atLeast"/>
          <w:jc w:val="center"/>
        </w:trPr>
        <w:tc>
          <w:tcPr>
            <w:tcW w:w="792" w:type="dxa"/>
            <w:vMerge w:val="continue"/>
            <w:vAlign w:val="center"/>
          </w:tcPr>
          <w:p>
            <w:pPr>
              <w:pStyle w:val="88"/>
            </w:pPr>
          </w:p>
        </w:tc>
        <w:tc>
          <w:tcPr>
            <w:tcW w:w="1134" w:type="dxa"/>
            <w:vAlign w:val="center"/>
          </w:tcPr>
          <w:p>
            <w:pPr>
              <w:pStyle w:val="88"/>
            </w:pPr>
            <w:r>
              <w:t>水土保持和环保</w:t>
            </w:r>
          </w:p>
        </w:tc>
        <w:tc>
          <w:tcPr>
            <w:tcW w:w="2126" w:type="dxa"/>
            <w:vAlign w:val="center"/>
          </w:tcPr>
          <w:p>
            <w:pPr>
              <w:pStyle w:val="88"/>
            </w:pPr>
            <w:r>
              <w:t>满足设计及主管部分审批要求</w:t>
            </w:r>
          </w:p>
        </w:tc>
        <w:tc>
          <w:tcPr>
            <w:tcW w:w="641" w:type="dxa"/>
            <w:vAlign w:val="center"/>
          </w:tcPr>
          <w:p>
            <w:pPr>
              <w:pStyle w:val="88"/>
            </w:pPr>
            <w:r>
              <w:t>5</w:t>
            </w:r>
          </w:p>
        </w:tc>
        <w:tc>
          <w:tcPr>
            <w:tcW w:w="3141" w:type="dxa"/>
            <w:vAlign w:val="center"/>
          </w:tcPr>
          <w:p>
            <w:pPr>
              <w:pStyle w:val="88"/>
            </w:pPr>
            <w:r>
              <w:t>不满足设计及主管部分审批要求，不得分；每发生一次，扣1分。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27" w:hRule="atLeast"/>
          <w:jc w:val="center"/>
        </w:trPr>
        <w:tc>
          <w:tcPr>
            <w:tcW w:w="792" w:type="dxa"/>
            <w:vMerge w:val="continue"/>
            <w:vAlign w:val="center"/>
          </w:tcPr>
          <w:p>
            <w:pPr>
              <w:pStyle w:val="88"/>
            </w:pPr>
          </w:p>
        </w:tc>
        <w:tc>
          <w:tcPr>
            <w:tcW w:w="1134" w:type="dxa"/>
            <w:vAlign w:val="center"/>
          </w:tcPr>
          <w:p>
            <w:pPr>
              <w:pStyle w:val="88"/>
            </w:pPr>
            <w:r>
              <w:t>建设的合规性</w:t>
            </w:r>
          </w:p>
        </w:tc>
        <w:tc>
          <w:tcPr>
            <w:tcW w:w="2126" w:type="dxa"/>
            <w:vAlign w:val="center"/>
          </w:tcPr>
          <w:p>
            <w:pPr>
              <w:pStyle w:val="88"/>
            </w:pPr>
            <w:r>
              <w:t>工程建设符合批准后的设计方案和技术标准</w:t>
            </w:r>
          </w:p>
        </w:tc>
        <w:tc>
          <w:tcPr>
            <w:tcW w:w="641" w:type="dxa"/>
            <w:vAlign w:val="center"/>
          </w:tcPr>
          <w:p>
            <w:pPr>
              <w:pStyle w:val="88"/>
            </w:pPr>
            <w:r>
              <w:t>5</w:t>
            </w:r>
          </w:p>
        </w:tc>
        <w:tc>
          <w:tcPr>
            <w:tcW w:w="3141" w:type="dxa"/>
            <w:vAlign w:val="center"/>
          </w:tcPr>
          <w:p>
            <w:pPr>
              <w:pStyle w:val="88"/>
            </w:pPr>
            <w:r>
              <w:t>建设合规，得满分；每发生一次违规情况，扣1分。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27" w:hRule="atLeast"/>
          <w:jc w:val="center"/>
        </w:trPr>
        <w:tc>
          <w:tcPr>
            <w:tcW w:w="792" w:type="dxa"/>
            <w:shd w:val="clear" w:color="auto" w:fill="FBE4D5"/>
            <w:vAlign w:val="center"/>
          </w:tcPr>
          <w:p>
            <w:pPr>
              <w:pStyle w:val="88"/>
            </w:pPr>
          </w:p>
        </w:tc>
        <w:tc>
          <w:tcPr>
            <w:tcW w:w="1134" w:type="dxa"/>
            <w:shd w:val="clear" w:color="auto" w:fill="FBE4D5"/>
            <w:vAlign w:val="center"/>
          </w:tcPr>
          <w:p>
            <w:pPr>
              <w:pStyle w:val="88"/>
            </w:pPr>
            <w:r>
              <w:t>合计</w:t>
            </w:r>
          </w:p>
        </w:tc>
        <w:tc>
          <w:tcPr>
            <w:tcW w:w="2126" w:type="dxa"/>
            <w:shd w:val="clear" w:color="auto" w:fill="FBE4D5"/>
            <w:vAlign w:val="center"/>
          </w:tcPr>
          <w:p>
            <w:pPr>
              <w:pStyle w:val="88"/>
            </w:pPr>
          </w:p>
        </w:tc>
        <w:tc>
          <w:tcPr>
            <w:tcW w:w="641" w:type="dxa"/>
            <w:shd w:val="clear" w:color="auto" w:fill="FBE4D5"/>
            <w:vAlign w:val="center"/>
          </w:tcPr>
          <w:p>
            <w:pPr>
              <w:pStyle w:val="88"/>
            </w:pPr>
            <w:r>
              <w:t>100</w:t>
            </w:r>
          </w:p>
        </w:tc>
        <w:tc>
          <w:tcPr>
            <w:tcW w:w="3141" w:type="dxa"/>
            <w:shd w:val="clear" w:color="auto" w:fill="FBE4D5"/>
            <w:vAlign w:val="center"/>
          </w:tcPr>
          <w:p>
            <w:pPr>
              <w:pStyle w:val="88"/>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restart"/>
            <w:vAlign w:val="center"/>
          </w:tcPr>
          <w:p>
            <w:pPr>
              <w:pStyle w:val="88"/>
            </w:pPr>
            <w:r>
              <w:t>运维服务绩效考核指标</w:t>
            </w:r>
          </w:p>
          <w:p>
            <w:pPr>
              <w:pStyle w:val="88"/>
            </w:pPr>
          </w:p>
          <w:p>
            <w:pPr>
              <w:pStyle w:val="88"/>
            </w:pPr>
          </w:p>
        </w:tc>
        <w:tc>
          <w:tcPr>
            <w:tcW w:w="1134" w:type="dxa"/>
            <w:vMerge w:val="restart"/>
            <w:vAlign w:val="center"/>
          </w:tcPr>
          <w:p>
            <w:pPr>
              <w:pStyle w:val="88"/>
            </w:pPr>
            <w:r>
              <w:t>工作数量                 （20分）</w:t>
            </w:r>
          </w:p>
        </w:tc>
        <w:tc>
          <w:tcPr>
            <w:tcW w:w="2126" w:type="dxa"/>
            <w:vAlign w:val="center"/>
          </w:tcPr>
          <w:p>
            <w:pPr>
              <w:pStyle w:val="88"/>
            </w:pPr>
            <w:r>
              <w:t>粮品、油罐仓储</w:t>
            </w:r>
          </w:p>
        </w:tc>
        <w:tc>
          <w:tcPr>
            <w:tcW w:w="641" w:type="dxa"/>
            <w:vAlign w:val="center"/>
          </w:tcPr>
          <w:p>
            <w:pPr>
              <w:pStyle w:val="88"/>
            </w:pPr>
            <w:r>
              <w:t>10</w:t>
            </w:r>
          </w:p>
        </w:tc>
        <w:tc>
          <w:tcPr>
            <w:tcW w:w="3141" w:type="dxa"/>
            <w:vAlign w:val="center"/>
          </w:tcPr>
          <w:p>
            <w:pPr>
              <w:pStyle w:val="88"/>
            </w:pPr>
            <w:r>
              <w:rPr>
                <w:rFonts w:eastAsia="Times New Roman"/>
              </w:rPr>
              <w:t>≥</w:t>
            </w:r>
            <w:r>
              <w:t>80%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vAlign w:val="center"/>
          </w:tcPr>
          <w:p>
            <w:pPr>
              <w:pStyle w:val="88"/>
            </w:pPr>
          </w:p>
        </w:tc>
        <w:tc>
          <w:tcPr>
            <w:tcW w:w="1134" w:type="dxa"/>
            <w:vMerge w:val="continue"/>
            <w:vAlign w:val="center"/>
          </w:tcPr>
          <w:p>
            <w:pPr>
              <w:pStyle w:val="88"/>
            </w:pPr>
          </w:p>
        </w:tc>
        <w:tc>
          <w:tcPr>
            <w:tcW w:w="2126" w:type="dxa"/>
            <w:vAlign w:val="center"/>
          </w:tcPr>
          <w:p>
            <w:pPr>
              <w:pStyle w:val="88"/>
            </w:pPr>
            <w:r>
              <w:t>大米加工及销售、谷糠及副产品</w:t>
            </w:r>
          </w:p>
        </w:tc>
        <w:tc>
          <w:tcPr>
            <w:tcW w:w="641" w:type="dxa"/>
            <w:vAlign w:val="center"/>
          </w:tcPr>
          <w:p>
            <w:pPr>
              <w:pStyle w:val="88"/>
            </w:pPr>
            <w:r>
              <w:t>5</w:t>
            </w:r>
          </w:p>
        </w:tc>
        <w:tc>
          <w:tcPr>
            <w:tcW w:w="3141" w:type="dxa"/>
            <w:vAlign w:val="center"/>
          </w:tcPr>
          <w:p>
            <w:pPr>
              <w:pStyle w:val="88"/>
            </w:pPr>
            <w:r>
              <w:t>大米加工及销售为1.15万吨/年谷糠及副产品为0.49万吨/年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vAlign w:val="center"/>
          </w:tcPr>
          <w:p>
            <w:pPr>
              <w:pStyle w:val="88"/>
            </w:pPr>
          </w:p>
        </w:tc>
        <w:tc>
          <w:tcPr>
            <w:tcW w:w="1134" w:type="dxa"/>
            <w:vMerge w:val="continue"/>
            <w:vAlign w:val="center"/>
          </w:tcPr>
          <w:p>
            <w:pPr>
              <w:pStyle w:val="88"/>
            </w:pPr>
          </w:p>
        </w:tc>
        <w:tc>
          <w:tcPr>
            <w:tcW w:w="2126" w:type="dxa"/>
            <w:vAlign w:val="center"/>
          </w:tcPr>
          <w:p>
            <w:pPr>
              <w:pStyle w:val="88"/>
            </w:pPr>
            <w:r>
              <w:t>临街商铺出租</w:t>
            </w:r>
          </w:p>
        </w:tc>
        <w:tc>
          <w:tcPr>
            <w:tcW w:w="641" w:type="dxa"/>
            <w:vAlign w:val="center"/>
          </w:tcPr>
          <w:p>
            <w:pPr>
              <w:pStyle w:val="88"/>
            </w:pPr>
            <w:r>
              <w:t>5</w:t>
            </w:r>
          </w:p>
        </w:tc>
        <w:tc>
          <w:tcPr>
            <w:tcW w:w="3141" w:type="dxa"/>
            <w:vAlign w:val="center"/>
          </w:tcPr>
          <w:p>
            <w:pPr>
              <w:pStyle w:val="88"/>
            </w:pPr>
            <w:r>
              <w:rPr>
                <w:rFonts w:eastAsia="Times New Roman"/>
              </w:rPr>
              <w:t>≥</w:t>
            </w:r>
            <w:r>
              <w:t>80%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vAlign w:val="center"/>
          </w:tcPr>
          <w:p>
            <w:pPr>
              <w:pStyle w:val="88"/>
            </w:pPr>
          </w:p>
        </w:tc>
        <w:tc>
          <w:tcPr>
            <w:tcW w:w="1134" w:type="dxa"/>
            <w:vMerge w:val="restart"/>
            <w:vAlign w:val="center"/>
          </w:tcPr>
          <w:p>
            <w:pPr>
              <w:pStyle w:val="88"/>
            </w:pPr>
            <w:r>
              <w:t>服务质量                  （55分）</w:t>
            </w:r>
          </w:p>
        </w:tc>
        <w:tc>
          <w:tcPr>
            <w:tcW w:w="2126" w:type="dxa"/>
            <w:vAlign w:val="center"/>
          </w:tcPr>
          <w:p>
            <w:pPr>
              <w:pStyle w:val="88"/>
            </w:pPr>
            <w:r>
              <w:t>准时交货</w:t>
            </w:r>
          </w:p>
        </w:tc>
        <w:tc>
          <w:tcPr>
            <w:tcW w:w="641" w:type="dxa"/>
            <w:vAlign w:val="center"/>
          </w:tcPr>
          <w:p>
            <w:pPr>
              <w:pStyle w:val="88"/>
            </w:pPr>
            <w:r>
              <w:t>5</w:t>
            </w:r>
          </w:p>
        </w:tc>
        <w:tc>
          <w:tcPr>
            <w:tcW w:w="3141" w:type="dxa"/>
            <w:vAlign w:val="center"/>
          </w:tcPr>
          <w:p>
            <w:pPr>
              <w:pStyle w:val="88"/>
            </w:pPr>
            <w:r>
              <w:t>符合一般粮库标准。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vAlign w:val="center"/>
          </w:tcPr>
          <w:p>
            <w:pPr>
              <w:pStyle w:val="88"/>
            </w:pPr>
          </w:p>
        </w:tc>
        <w:tc>
          <w:tcPr>
            <w:tcW w:w="1134" w:type="dxa"/>
            <w:vMerge w:val="continue"/>
            <w:vAlign w:val="center"/>
          </w:tcPr>
          <w:p>
            <w:pPr>
              <w:pStyle w:val="88"/>
            </w:pPr>
          </w:p>
        </w:tc>
        <w:tc>
          <w:tcPr>
            <w:tcW w:w="2126" w:type="dxa"/>
            <w:vAlign w:val="center"/>
          </w:tcPr>
          <w:p>
            <w:pPr>
              <w:pStyle w:val="88"/>
            </w:pPr>
            <w:r>
              <w:t>货损货差赔偿</w:t>
            </w:r>
          </w:p>
        </w:tc>
        <w:tc>
          <w:tcPr>
            <w:tcW w:w="641" w:type="dxa"/>
            <w:vAlign w:val="center"/>
          </w:tcPr>
          <w:p>
            <w:pPr>
              <w:pStyle w:val="88"/>
            </w:pPr>
            <w:r>
              <w:t>10</w:t>
            </w:r>
          </w:p>
        </w:tc>
        <w:tc>
          <w:tcPr>
            <w:tcW w:w="3141" w:type="dxa"/>
            <w:vAlign w:val="center"/>
          </w:tcPr>
          <w:p>
            <w:pPr>
              <w:pStyle w:val="88"/>
            </w:pPr>
            <w:r>
              <w:t>符合一般粮库标准。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vAlign w:val="center"/>
          </w:tcPr>
          <w:p>
            <w:pPr>
              <w:pStyle w:val="88"/>
            </w:pPr>
          </w:p>
        </w:tc>
        <w:tc>
          <w:tcPr>
            <w:tcW w:w="1134" w:type="dxa"/>
            <w:vMerge w:val="continue"/>
            <w:vAlign w:val="center"/>
          </w:tcPr>
          <w:p>
            <w:pPr>
              <w:pStyle w:val="88"/>
            </w:pPr>
          </w:p>
        </w:tc>
        <w:tc>
          <w:tcPr>
            <w:tcW w:w="2126" w:type="dxa"/>
            <w:vAlign w:val="center"/>
          </w:tcPr>
          <w:p>
            <w:pPr>
              <w:pStyle w:val="88"/>
            </w:pPr>
            <w:r>
              <w:t>仓储安全</w:t>
            </w:r>
          </w:p>
        </w:tc>
        <w:tc>
          <w:tcPr>
            <w:tcW w:w="641" w:type="dxa"/>
            <w:vAlign w:val="center"/>
          </w:tcPr>
          <w:p>
            <w:pPr>
              <w:pStyle w:val="88"/>
            </w:pPr>
            <w:r>
              <w:t>10</w:t>
            </w:r>
          </w:p>
        </w:tc>
        <w:tc>
          <w:tcPr>
            <w:tcW w:w="3141" w:type="dxa"/>
            <w:vAlign w:val="center"/>
          </w:tcPr>
          <w:p>
            <w:pPr>
              <w:pStyle w:val="88"/>
            </w:pPr>
            <w:r>
              <w:t>符合一般粮库标准。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vAlign w:val="center"/>
          </w:tcPr>
          <w:p>
            <w:pPr>
              <w:pStyle w:val="88"/>
            </w:pPr>
          </w:p>
        </w:tc>
        <w:tc>
          <w:tcPr>
            <w:tcW w:w="1134" w:type="dxa"/>
            <w:vMerge w:val="continue"/>
            <w:vAlign w:val="center"/>
          </w:tcPr>
          <w:p>
            <w:pPr>
              <w:pStyle w:val="88"/>
            </w:pPr>
          </w:p>
        </w:tc>
        <w:tc>
          <w:tcPr>
            <w:tcW w:w="2126" w:type="dxa"/>
            <w:vAlign w:val="center"/>
          </w:tcPr>
          <w:p>
            <w:pPr>
              <w:pStyle w:val="88"/>
            </w:pPr>
            <w:r>
              <w:t>临街商铺管理</w:t>
            </w:r>
          </w:p>
        </w:tc>
        <w:tc>
          <w:tcPr>
            <w:tcW w:w="641" w:type="dxa"/>
            <w:vAlign w:val="center"/>
          </w:tcPr>
          <w:p>
            <w:pPr>
              <w:pStyle w:val="88"/>
            </w:pPr>
            <w:r>
              <w:t>20</w:t>
            </w:r>
          </w:p>
        </w:tc>
        <w:tc>
          <w:tcPr>
            <w:tcW w:w="3141" w:type="dxa"/>
            <w:vAlign w:val="center"/>
          </w:tcPr>
          <w:p>
            <w:pPr>
              <w:pStyle w:val="88"/>
            </w:pPr>
            <w:r>
              <w:t>符合一般商铺标准。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vAlign w:val="center"/>
          </w:tcPr>
          <w:p>
            <w:pPr>
              <w:pStyle w:val="88"/>
            </w:pPr>
          </w:p>
        </w:tc>
        <w:tc>
          <w:tcPr>
            <w:tcW w:w="1134" w:type="dxa"/>
            <w:vMerge w:val="continue"/>
            <w:vAlign w:val="center"/>
          </w:tcPr>
          <w:p>
            <w:pPr>
              <w:pStyle w:val="88"/>
            </w:pPr>
          </w:p>
        </w:tc>
        <w:tc>
          <w:tcPr>
            <w:tcW w:w="2126" w:type="dxa"/>
            <w:vAlign w:val="center"/>
          </w:tcPr>
          <w:p>
            <w:pPr>
              <w:pStyle w:val="88"/>
            </w:pPr>
            <w:r>
              <w:t>优质服务</w:t>
            </w:r>
          </w:p>
        </w:tc>
        <w:tc>
          <w:tcPr>
            <w:tcW w:w="641" w:type="dxa"/>
            <w:vAlign w:val="center"/>
          </w:tcPr>
          <w:p>
            <w:pPr>
              <w:pStyle w:val="88"/>
            </w:pPr>
            <w:r>
              <w:t>10</w:t>
            </w:r>
          </w:p>
        </w:tc>
        <w:tc>
          <w:tcPr>
            <w:tcW w:w="3141" w:type="dxa"/>
            <w:vAlign w:val="center"/>
          </w:tcPr>
          <w:p>
            <w:pPr>
              <w:pStyle w:val="88"/>
            </w:pPr>
            <w:r>
              <w:t>投诉</w:t>
            </w:r>
            <w:r>
              <w:rPr>
                <w:rFonts w:eastAsia="Times New Roman"/>
              </w:rPr>
              <w:t>≤</w:t>
            </w:r>
            <w:r>
              <w:t>5次/年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vAlign w:val="center"/>
          </w:tcPr>
          <w:p>
            <w:pPr>
              <w:pStyle w:val="88"/>
            </w:pPr>
          </w:p>
        </w:tc>
        <w:tc>
          <w:tcPr>
            <w:tcW w:w="1134" w:type="dxa"/>
            <w:vMerge w:val="restart"/>
            <w:vAlign w:val="center"/>
          </w:tcPr>
          <w:p>
            <w:pPr>
              <w:pStyle w:val="88"/>
            </w:pPr>
            <w:r>
              <w:t>内部管理              （25分）</w:t>
            </w:r>
          </w:p>
        </w:tc>
        <w:tc>
          <w:tcPr>
            <w:tcW w:w="2126" w:type="dxa"/>
            <w:vAlign w:val="center"/>
          </w:tcPr>
          <w:p>
            <w:pPr>
              <w:pStyle w:val="88"/>
            </w:pPr>
            <w:r>
              <w:t>绩效机制</w:t>
            </w:r>
          </w:p>
        </w:tc>
        <w:tc>
          <w:tcPr>
            <w:tcW w:w="641" w:type="dxa"/>
            <w:vAlign w:val="center"/>
          </w:tcPr>
          <w:p>
            <w:pPr>
              <w:pStyle w:val="88"/>
            </w:pPr>
            <w:r>
              <w:t>5</w:t>
            </w:r>
          </w:p>
        </w:tc>
        <w:tc>
          <w:tcPr>
            <w:tcW w:w="3141" w:type="dxa"/>
            <w:vAlign w:val="center"/>
          </w:tcPr>
          <w:p>
            <w:pPr>
              <w:pStyle w:val="88"/>
            </w:pPr>
            <w:r>
              <w:t>合理绩效管理，5分；绩效不合理1分；未实行0分。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vAlign w:val="center"/>
          </w:tcPr>
          <w:p>
            <w:pPr>
              <w:pStyle w:val="88"/>
            </w:pPr>
          </w:p>
        </w:tc>
        <w:tc>
          <w:tcPr>
            <w:tcW w:w="1134" w:type="dxa"/>
            <w:vMerge w:val="continue"/>
            <w:vAlign w:val="center"/>
          </w:tcPr>
          <w:p>
            <w:pPr>
              <w:pStyle w:val="88"/>
            </w:pPr>
          </w:p>
        </w:tc>
        <w:tc>
          <w:tcPr>
            <w:tcW w:w="2126" w:type="dxa"/>
            <w:vAlign w:val="center"/>
          </w:tcPr>
          <w:p>
            <w:pPr>
              <w:pStyle w:val="88"/>
            </w:pPr>
            <w:r>
              <w:t>鼓励创新</w:t>
            </w:r>
          </w:p>
        </w:tc>
        <w:tc>
          <w:tcPr>
            <w:tcW w:w="641" w:type="dxa"/>
            <w:vAlign w:val="center"/>
          </w:tcPr>
          <w:p>
            <w:pPr>
              <w:pStyle w:val="88"/>
            </w:pPr>
            <w:r>
              <w:t>5</w:t>
            </w:r>
          </w:p>
        </w:tc>
        <w:tc>
          <w:tcPr>
            <w:tcW w:w="3141" w:type="dxa"/>
            <w:vAlign w:val="center"/>
          </w:tcPr>
          <w:p>
            <w:pPr>
              <w:pStyle w:val="88"/>
            </w:pPr>
            <w:r>
              <w:t>创新成效明显，5分；成效一般2分，不创新0分。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vAlign w:val="center"/>
          </w:tcPr>
          <w:p>
            <w:pPr>
              <w:pStyle w:val="88"/>
            </w:pPr>
          </w:p>
        </w:tc>
        <w:tc>
          <w:tcPr>
            <w:tcW w:w="1134" w:type="dxa"/>
            <w:vMerge w:val="continue"/>
            <w:vAlign w:val="center"/>
          </w:tcPr>
          <w:p>
            <w:pPr>
              <w:pStyle w:val="88"/>
            </w:pPr>
          </w:p>
        </w:tc>
        <w:tc>
          <w:tcPr>
            <w:tcW w:w="2126" w:type="dxa"/>
            <w:vAlign w:val="center"/>
          </w:tcPr>
          <w:p>
            <w:pPr>
              <w:pStyle w:val="88"/>
            </w:pPr>
            <w:r>
              <w:t>信息上报</w:t>
            </w:r>
          </w:p>
        </w:tc>
        <w:tc>
          <w:tcPr>
            <w:tcW w:w="641" w:type="dxa"/>
            <w:vAlign w:val="center"/>
          </w:tcPr>
          <w:p>
            <w:pPr>
              <w:pStyle w:val="88"/>
            </w:pPr>
            <w:r>
              <w:t>2</w:t>
            </w:r>
          </w:p>
        </w:tc>
        <w:tc>
          <w:tcPr>
            <w:tcW w:w="3141" w:type="dxa"/>
            <w:vAlign w:val="center"/>
          </w:tcPr>
          <w:p>
            <w:pPr>
              <w:pStyle w:val="88"/>
            </w:pPr>
            <w:r>
              <w:t>符合规定，2分；不符合规定1次扣0.5分。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vAlign w:val="center"/>
          </w:tcPr>
          <w:p>
            <w:pPr>
              <w:pStyle w:val="88"/>
            </w:pPr>
          </w:p>
        </w:tc>
        <w:tc>
          <w:tcPr>
            <w:tcW w:w="1134" w:type="dxa"/>
            <w:vMerge w:val="continue"/>
            <w:vAlign w:val="center"/>
          </w:tcPr>
          <w:p>
            <w:pPr>
              <w:pStyle w:val="88"/>
            </w:pPr>
          </w:p>
        </w:tc>
        <w:tc>
          <w:tcPr>
            <w:tcW w:w="2126" w:type="dxa"/>
            <w:vAlign w:val="center"/>
          </w:tcPr>
          <w:p>
            <w:pPr>
              <w:pStyle w:val="88"/>
            </w:pPr>
            <w:r>
              <w:t>技术人员培训</w:t>
            </w:r>
          </w:p>
        </w:tc>
        <w:tc>
          <w:tcPr>
            <w:tcW w:w="641" w:type="dxa"/>
            <w:vAlign w:val="center"/>
          </w:tcPr>
          <w:p>
            <w:pPr>
              <w:pStyle w:val="88"/>
            </w:pPr>
            <w:r>
              <w:t>3</w:t>
            </w:r>
          </w:p>
        </w:tc>
        <w:tc>
          <w:tcPr>
            <w:tcW w:w="3141" w:type="dxa"/>
            <w:vAlign w:val="center"/>
          </w:tcPr>
          <w:p>
            <w:pPr>
              <w:pStyle w:val="88"/>
            </w:pPr>
            <w:r>
              <w:t>人员培训每年两次，3分；一次，1分；无培训0分。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vAlign w:val="center"/>
          </w:tcPr>
          <w:p>
            <w:pPr>
              <w:pStyle w:val="88"/>
            </w:pPr>
          </w:p>
        </w:tc>
        <w:tc>
          <w:tcPr>
            <w:tcW w:w="1134" w:type="dxa"/>
            <w:vMerge w:val="continue"/>
            <w:vAlign w:val="center"/>
          </w:tcPr>
          <w:p>
            <w:pPr>
              <w:pStyle w:val="88"/>
            </w:pPr>
          </w:p>
        </w:tc>
        <w:tc>
          <w:tcPr>
            <w:tcW w:w="2126" w:type="dxa"/>
            <w:vAlign w:val="center"/>
          </w:tcPr>
          <w:p>
            <w:pPr>
              <w:pStyle w:val="88"/>
            </w:pPr>
            <w:r>
              <w:t>成本控制</w:t>
            </w:r>
          </w:p>
        </w:tc>
        <w:tc>
          <w:tcPr>
            <w:tcW w:w="641" w:type="dxa"/>
            <w:vAlign w:val="center"/>
          </w:tcPr>
          <w:p>
            <w:pPr>
              <w:pStyle w:val="88"/>
            </w:pPr>
            <w:r>
              <w:t>5</w:t>
            </w:r>
          </w:p>
        </w:tc>
        <w:tc>
          <w:tcPr>
            <w:tcW w:w="3141" w:type="dxa"/>
            <w:vAlign w:val="center"/>
          </w:tcPr>
          <w:p>
            <w:pPr>
              <w:pStyle w:val="88"/>
            </w:pPr>
            <w:r>
              <w:t>成本控制在协议约定范围，5分；每增加2%扣1分。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vAlign w:val="center"/>
          </w:tcPr>
          <w:p>
            <w:pPr>
              <w:pStyle w:val="88"/>
            </w:pPr>
          </w:p>
        </w:tc>
        <w:tc>
          <w:tcPr>
            <w:tcW w:w="1134" w:type="dxa"/>
            <w:vMerge w:val="continue"/>
            <w:vAlign w:val="center"/>
          </w:tcPr>
          <w:p>
            <w:pPr>
              <w:pStyle w:val="88"/>
            </w:pPr>
          </w:p>
        </w:tc>
        <w:tc>
          <w:tcPr>
            <w:tcW w:w="2126" w:type="dxa"/>
            <w:vAlign w:val="center"/>
          </w:tcPr>
          <w:p>
            <w:pPr>
              <w:pStyle w:val="88"/>
            </w:pPr>
            <w:r>
              <w:t>财务管理</w:t>
            </w:r>
          </w:p>
        </w:tc>
        <w:tc>
          <w:tcPr>
            <w:tcW w:w="641" w:type="dxa"/>
            <w:vAlign w:val="center"/>
          </w:tcPr>
          <w:p>
            <w:pPr>
              <w:pStyle w:val="88"/>
            </w:pPr>
            <w:r>
              <w:t>5</w:t>
            </w:r>
          </w:p>
        </w:tc>
        <w:tc>
          <w:tcPr>
            <w:tcW w:w="3141" w:type="dxa"/>
            <w:vAlign w:val="center"/>
          </w:tcPr>
          <w:p>
            <w:pPr>
              <w:pStyle w:val="88"/>
            </w:pPr>
            <w:r>
              <w:t>管理符合规定，5分；基本符合，3分；不符合0分。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792" w:type="dxa"/>
            <w:vMerge w:val="continue"/>
            <w:tcBorders>
              <w:bottom w:val="double" w:color="auto" w:sz="4" w:space="0"/>
            </w:tcBorders>
            <w:shd w:val="clear" w:color="auto" w:fill="FFFFFF"/>
            <w:vAlign w:val="center"/>
          </w:tcPr>
          <w:p>
            <w:pPr>
              <w:pStyle w:val="88"/>
            </w:pPr>
          </w:p>
        </w:tc>
        <w:tc>
          <w:tcPr>
            <w:tcW w:w="1134" w:type="dxa"/>
            <w:tcBorders>
              <w:bottom w:val="double" w:color="auto" w:sz="4" w:space="0"/>
            </w:tcBorders>
            <w:shd w:val="clear" w:color="auto" w:fill="FFFFFF"/>
            <w:vAlign w:val="center"/>
          </w:tcPr>
          <w:p>
            <w:pPr>
              <w:pStyle w:val="88"/>
            </w:pPr>
            <w:r>
              <w:t>合计</w:t>
            </w:r>
          </w:p>
        </w:tc>
        <w:tc>
          <w:tcPr>
            <w:tcW w:w="2126" w:type="dxa"/>
            <w:tcBorders>
              <w:bottom w:val="double" w:color="auto" w:sz="4" w:space="0"/>
            </w:tcBorders>
            <w:shd w:val="clear" w:color="auto" w:fill="FFFFFF"/>
            <w:vAlign w:val="center"/>
          </w:tcPr>
          <w:p>
            <w:pPr>
              <w:pStyle w:val="88"/>
            </w:pPr>
          </w:p>
        </w:tc>
        <w:tc>
          <w:tcPr>
            <w:tcW w:w="641" w:type="dxa"/>
            <w:tcBorders>
              <w:bottom w:val="double" w:color="auto" w:sz="4" w:space="0"/>
            </w:tcBorders>
            <w:shd w:val="clear" w:color="auto" w:fill="FFFFFF"/>
            <w:vAlign w:val="center"/>
          </w:tcPr>
          <w:p>
            <w:pPr>
              <w:pStyle w:val="88"/>
            </w:pPr>
            <w:r>
              <w:t>100</w:t>
            </w:r>
          </w:p>
        </w:tc>
        <w:tc>
          <w:tcPr>
            <w:tcW w:w="3141" w:type="dxa"/>
            <w:tcBorders>
              <w:bottom w:val="double" w:color="auto" w:sz="4" w:space="0"/>
            </w:tcBorders>
            <w:shd w:val="clear" w:color="auto" w:fill="FFFFFF"/>
            <w:vAlign w:val="center"/>
          </w:tcPr>
          <w:p>
            <w:pPr>
              <w:pStyle w:val="88"/>
            </w:pPr>
          </w:p>
        </w:tc>
      </w:tr>
    </w:tbl>
    <w:p>
      <w:pPr>
        <w:ind w:firstLine="560"/>
        <w:rPr>
          <w:rFonts w:ascii="Times New Roman" w:hAnsi="Times New Roman"/>
          <w:szCs w:val="28"/>
        </w:rPr>
      </w:pPr>
      <w:r>
        <w:rPr>
          <w:rFonts w:ascii="Times New Roman" w:hAnsi="Times New Roman"/>
          <w:szCs w:val="28"/>
        </w:rPr>
        <w:t>注：绩效指标及考核办法合同谈判中确定。</w:t>
      </w:r>
    </w:p>
    <w:p>
      <w:pPr>
        <w:pStyle w:val="4"/>
        <w:ind w:firstLine="562"/>
      </w:pPr>
      <w:bookmarkStart w:id="117" w:name="_Toc28652"/>
      <w:bookmarkStart w:id="118" w:name="_Toc468088637"/>
      <w:r>
        <w:t>4.5.2 绩效考核结果</w:t>
      </w:r>
      <w:bookmarkEnd w:id="117"/>
      <w:bookmarkEnd w:id="118"/>
    </w:p>
    <w:p>
      <w:pPr>
        <w:ind w:firstLine="560"/>
        <w:rPr>
          <w:rFonts w:ascii="Times New Roman" w:hAnsi="Times New Roman"/>
          <w:szCs w:val="28"/>
        </w:rPr>
      </w:pPr>
      <w:r>
        <w:rPr>
          <w:rFonts w:ascii="Times New Roman" w:hAnsi="Times New Roman"/>
          <w:szCs w:val="28"/>
        </w:rPr>
        <w:t>项目绩效考核实施细则由区粮食局于项目合同签订前确定，并报区财政局备案，政府除有权根据约定绩效考核分数支付相应的服务费外，如社会投资人未在规定的时间内改正或改正的效果未能达到绩效考核标准的，则政府有权自行或者委托第三方介入项目建设和运营管理工作，并提取建设期履约保函和运营维护保函项下的相应金额。项目实际绩效优于约定标准的，项目实施机构应执行项目合同约定的奖励条款，并可将其作为项目期满合同能否展期的依据；未达到约定标准的，项目实施机构应执行项目合同约定的惩处条款。</w:t>
      </w:r>
    </w:p>
    <w:p>
      <w:pPr>
        <w:ind w:firstLine="560"/>
        <w:rPr>
          <w:rFonts w:ascii="Times New Roman" w:hAnsi="Times New Roman"/>
          <w:szCs w:val="28"/>
        </w:rPr>
      </w:pPr>
      <w:r>
        <w:rPr>
          <w:rFonts w:hint="eastAsia" w:ascii="Times New Roman" w:hAnsi="Times New Roman"/>
          <w:szCs w:val="28"/>
        </w:rPr>
        <w:t>（1）可用性服务绩效考核依据政府审计或中介机构绩效考核等确定的结果，按下列计算方法从履约保函中扣除绩效考核金额：</w:t>
      </w:r>
    </w:p>
    <w:p>
      <w:pPr>
        <w:ind w:firstLine="560"/>
        <w:rPr>
          <w:rFonts w:ascii="Times New Roman" w:hAnsi="Times New Roman"/>
          <w:szCs w:val="28"/>
        </w:rPr>
      </w:pPr>
      <w:r>
        <w:rPr>
          <w:rFonts w:hint="eastAsia" w:ascii="Times New Roman" w:hAnsi="Times New Roman"/>
          <w:szCs w:val="28"/>
        </w:rPr>
        <w:t>① 绩效考核得分≥90分，政府不扣除约定的绩效考核金额；</w:t>
      </w:r>
    </w:p>
    <w:p>
      <w:pPr>
        <w:ind w:firstLine="560"/>
        <w:rPr>
          <w:rFonts w:ascii="Times New Roman" w:hAnsi="Times New Roman"/>
          <w:szCs w:val="28"/>
        </w:rPr>
      </w:pPr>
      <w:r>
        <w:rPr>
          <w:rFonts w:hint="eastAsia" w:ascii="Times New Roman" w:hAnsi="Times New Roman"/>
          <w:szCs w:val="28"/>
        </w:rPr>
        <w:t>② 60分≤绩效考核得分＜90分，绩效考核挂钩部分按下式计算：</w:t>
      </w:r>
    </w:p>
    <w:p>
      <w:pPr>
        <w:ind w:firstLine="560"/>
        <w:rPr>
          <w:rFonts w:ascii="Times New Roman" w:hAnsi="Times New Roman"/>
          <w:szCs w:val="28"/>
        </w:rPr>
      </w:pPr>
      <w:r>
        <w:rPr>
          <w:rFonts w:hint="eastAsia" w:ascii="Times New Roman" w:hAnsi="Times New Roman"/>
          <w:szCs w:val="28"/>
        </w:rPr>
        <w:t>应扣除的绩效考核金额=确定的建设投资×约定考核比例×（1-绩效考核得分率）</w:t>
      </w:r>
    </w:p>
    <w:p>
      <w:pPr>
        <w:ind w:firstLine="560"/>
        <w:rPr>
          <w:rFonts w:ascii="Times New Roman" w:hAnsi="Times New Roman"/>
          <w:szCs w:val="28"/>
        </w:rPr>
      </w:pPr>
      <w:r>
        <w:rPr>
          <w:rFonts w:hint="eastAsia" w:ascii="Times New Roman" w:hAnsi="Times New Roman"/>
          <w:szCs w:val="28"/>
        </w:rPr>
        <w:t>③ 绩效考核得分＜60分，政府全额扣除约定的绩效考核金额；</w:t>
      </w:r>
    </w:p>
    <w:p>
      <w:pPr>
        <w:ind w:firstLine="560"/>
        <w:rPr>
          <w:rFonts w:ascii="Times New Roman" w:hAnsi="Times New Roman"/>
          <w:szCs w:val="28"/>
        </w:rPr>
      </w:pPr>
      <w:r>
        <w:rPr>
          <w:rFonts w:hint="eastAsia" w:ascii="Times New Roman" w:hAnsi="Times New Roman"/>
          <w:szCs w:val="28"/>
        </w:rPr>
        <w:t>可用性绩效考核的金额以PPP项目合同约定为准。若在规定时间内项目公司不能对存在的问题整改并符合使用性要求，视为项目公司违约，政府方有权单方面终止合同。</w:t>
      </w:r>
    </w:p>
    <w:p>
      <w:pPr>
        <w:ind w:firstLine="560"/>
        <w:rPr>
          <w:rFonts w:ascii="Times New Roman" w:hAnsi="Times New Roman"/>
          <w:szCs w:val="28"/>
        </w:rPr>
      </w:pPr>
      <w:r>
        <w:rPr>
          <w:rFonts w:hint="eastAsia" w:ascii="Times New Roman" w:hAnsi="Times New Roman"/>
          <w:szCs w:val="28"/>
        </w:rPr>
        <w:t>（2）政府补助与运维服务绩效考核挂钩，按下列方法计算：</w:t>
      </w:r>
    </w:p>
    <w:p>
      <w:pPr>
        <w:ind w:firstLine="560"/>
        <w:rPr>
          <w:rFonts w:ascii="Times New Roman" w:hAnsi="Times New Roman"/>
          <w:szCs w:val="28"/>
        </w:rPr>
      </w:pPr>
      <w:r>
        <w:rPr>
          <w:rFonts w:hint="eastAsia" w:ascii="Times New Roman" w:hAnsi="Times New Roman"/>
          <w:szCs w:val="28"/>
        </w:rPr>
        <w:t>① 绩效考核得分≥90分</w:t>
      </w:r>
      <w:r>
        <w:rPr>
          <w:rFonts w:ascii="Times New Roman" w:hAnsi="Times New Roman"/>
          <w:szCs w:val="28"/>
        </w:rPr>
        <w:t>，政府补贴全额支付；</w:t>
      </w:r>
    </w:p>
    <w:p>
      <w:pPr>
        <w:ind w:firstLine="560"/>
        <w:rPr>
          <w:rFonts w:ascii="Times New Roman" w:hAnsi="Times New Roman"/>
          <w:szCs w:val="28"/>
        </w:rPr>
      </w:pPr>
      <w:r>
        <w:rPr>
          <w:rFonts w:hint="eastAsia" w:ascii="Times New Roman" w:hAnsi="Times New Roman"/>
          <w:szCs w:val="28"/>
        </w:rPr>
        <w:t>② 60分≤绩效考核得分＜90分</w:t>
      </w:r>
      <w:r>
        <w:rPr>
          <w:rFonts w:ascii="Times New Roman" w:hAnsi="Times New Roman"/>
          <w:szCs w:val="28"/>
        </w:rPr>
        <w:t>，政府补贴按下式计算：</w:t>
      </w:r>
    </w:p>
    <w:p>
      <w:pPr>
        <w:ind w:firstLine="560"/>
        <w:rPr>
          <w:rFonts w:ascii="Times New Roman" w:hAnsi="Times New Roman"/>
          <w:szCs w:val="28"/>
        </w:rPr>
      </w:pPr>
      <w:r>
        <w:rPr>
          <w:rFonts w:ascii="Times New Roman" w:hAnsi="Times New Roman"/>
          <w:szCs w:val="28"/>
        </w:rPr>
        <w:t>政府当期实际补贴=当期补贴×绩效考核得分率</w:t>
      </w:r>
    </w:p>
    <w:p>
      <w:pPr>
        <w:ind w:firstLine="560"/>
        <w:rPr>
          <w:rFonts w:ascii="Times New Roman" w:hAnsi="Times New Roman"/>
          <w:szCs w:val="28"/>
        </w:rPr>
      </w:pPr>
      <w:r>
        <w:rPr>
          <w:rFonts w:hint="eastAsia" w:ascii="Times New Roman" w:hAnsi="Times New Roman"/>
          <w:szCs w:val="28"/>
        </w:rPr>
        <w:t xml:space="preserve">③ </w:t>
      </w:r>
      <w:r>
        <w:rPr>
          <w:rFonts w:ascii="Times New Roman" w:hAnsi="Times New Roman"/>
          <w:szCs w:val="28"/>
        </w:rPr>
        <w:t>绩效考核得分</w:t>
      </w:r>
      <w:r>
        <w:rPr>
          <w:rFonts w:hint="eastAsia" w:ascii="Times New Roman" w:hAnsi="Times New Roman"/>
          <w:szCs w:val="28"/>
        </w:rPr>
        <w:t>＜</w:t>
      </w:r>
      <w:r>
        <w:rPr>
          <w:rFonts w:ascii="Times New Roman" w:hAnsi="Times New Roman"/>
          <w:szCs w:val="28"/>
        </w:rPr>
        <w:t>60分，</w:t>
      </w:r>
      <w:r>
        <w:rPr>
          <w:rFonts w:hint="eastAsia" w:ascii="Times New Roman" w:hAnsi="Times New Roman"/>
          <w:szCs w:val="28"/>
        </w:rPr>
        <w:t>当期</w:t>
      </w:r>
      <w:r>
        <w:rPr>
          <w:rFonts w:ascii="Times New Roman" w:hAnsi="Times New Roman"/>
          <w:szCs w:val="28"/>
        </w:rPr>
        <w:t>政府补贴全额</w:t>
      </w:r>
      <w:r>
        <w:rPr>
          <w:rFonts w:hint="eastAsia" w:ascii="Times New Roman" w:hAnsi="Times New Roman"/>
          <w:szCs w:val="28"/>
        </w:rPr>
        <w:t>扣除</w:t>
      </w:r>
    </w:p>
    <w:p>
      <w:pPr>
        <w:ind w:firstLine="560"/>
        <w:rPr>
          <w:rFonts w:ascii="Times New Roman" w:hAnsi="Times New Roman"/>
          <w:szCs w:val="28"/>
        </w:rPr>
      </w:pPr>
      <w:r>
        <w:rPr>
          <w:rFonts w:ascii="Times New Roman" w:hAnsi="Times New Roman"/>
          <w:szCs w:val="28"/>
        </w:rPr>
        <w:t>若连续两个</w:t>
      </w:r>
      <w:r>
        <w:rPr>
          <w:rFonts w:hint="eastAsia" w:ascii="Times New Roman" w:hAnsi="Times New Roman"/>
          <w:szCs w:val="28"/>
        </w:rPr>
        <w:t>考核周期</w:t>
      </w:r>
      <w:r>
        <w:rPr>
          <w:rFonts w:ascii="Times New Roman" w:hAnsi="Times New Roman"/>
          <w:szCs w:val="28"/>
        </w:rPr>
        <w:t>考核得分低于60分，视为项目公司违约，政府方有权单方面终止合同。</w:t>
      </w:r>
    </w:p>
    <w:p>
      <w:pPr>
        <w:pStyle w:val="2"/>
        <w:spacing w:before="240" w:after="240" w:line="560" w:lineRule="exact"/>
        <w:ind w:firstLine="562"/>
        <w:jc w:val="left"/>
        <w:rPr>
          <w:rFonts w:ascii="黑体" w:hAnsi="黑体" w:eastAsia="黑体" w:cs="黑体"/>
          <w:sz w:val="28"/>
          <w:szCs w:val="28"/>
        </w:rPr>
      </w:pPr>
      <w:bookmarkStart w:id="119" w:name="_Toc19688"/>
      <w:bookmarkStart w:id="120" w:name="_Toc468088638"/>
      <w:bookmarkStart w:id="121" w:name="_Toc4587"/>
      <w:r>
        <w:rPr>
          <w:rFonts w:hint="eastAsia" w:ascii="黑体" w:hAnsi="黑体" w:eastAsia="黑体" w:cs="黑体"/>
          <w:sz w:val="28"/>
          <w:szCs w:val="28"/>
        </w:rPr>
        <w:t>五、合同体系</w:t>
      </w:r>
      <w:bookmarkEnd w:id="119"/>
      <w:bookmarkEnd w:id="120"/>
      <w:bookmarkEnd w:id="121"/>
    </w:p>
    <w:p>
      <w:pPr>
        <w:ind w:firstLine="560"/>
        <w:rPr>
          <w:rFonts w:ascii="Times New Roman" w:hAnsi="Times New Roman"/>
          <w:szCs w:val="28"/>
        </w:rPr>
      </w:pPr>
      <w:r>
        <w:rPr>
          <w:rFonts w:ascii="Times New Roman" w:hAnsi="Times New Roman"/>
          <w:szCs w:val="28"/>
        </w:rPr>
        <w:t>在PPP项目中，除项目合同外，项目公司的股东之间，项目公司与项目的融资方、承包商、专业运营商、原料供应商、保险公司等其他参与方之间，还会围绕 PPP项目合作订立一系列合同来确立和调整彼此之间的权利义务关系，共同构成 PPP项目的合同体系。PPP项目合同是整个合同体系的基础和核心，政府方与社会资本方的权利义务关系以及 PPP项目的交易结构、风险分配机制等均通过 PPP项目合同确定，并以此作为各方主张权利、履行义务的依据和项目全生命周期顺利实施的保障。</w:t>
      </w:r>
      <w:r>
        <w:rPr>
          <w:rFonts w:hint="eastAsia" w:ascii="Times New Roman" w:hAnsi="Times New Roman"/>
          <w:szCs w:val="28"/>
        </w:rPr>
        <w:t>PPP项目合同体系图如下：</w:t>
      </w:r>
    </w:p>
    <w:p>
      <w:pPr>
        <w:ind w:firstLine="560"/>
        <w:rPr>
          <w:rFonts w:ascii="Times New Roman" w:hAnsi="Times New Roman"/>
          <w:szCs w:val="28"/>
        </w:rPr>
      </w:pPr>
    </w:p>
    <w:p>
      <w:pPr>
        <w:ind w:firstLine="560"/>
        <w:rPr>
          <w:rFonts w:ascii="Times New Roman" w:hAnsi="Times New Roman"/>
          <w:szCs w:val="28"/>
        </w:rPr>
      </w:pPr>
      <w:r>
        <w:drawing>
          <wp:anchor distT="0" distB="0" distL="114300" distR="114300" simplePos="0" relativeHeight="251659264" behindDoc="0" locked="0" layoutInCell="1" allowOverlap="1">
            <wp:simplePos x="0" y="0"/>
            <wp:positionH relativeFrom="column">
              <wp:posOffset>211455</wp:posOffset>
            </wp:positionH>
            <wp:positionV relativeFrom="paragraph">
              <wp:posOffset>93345</wp:posOffset>
            </wp:positionV>
            <wp:extent cx="5168900" cy="2961005"/>
            <wp:effectExtent l="0" t="0" r="12700" b="10795"/>
            <wp:wrapTopAndBottom/>
            <wp:docPr id="2" name="图片 2" descr="E:\新模板\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新模板\1.jpg1"/>
                    <pic:cNvPicPr>
                      <a:picLocks noChangeAspect="1"/>
                    </pic:cNvPicPr>
                  </pic:nvPicPr>
                  <pic:blipFill>
                    <a:blip r:embed="rId13"/>
                    <a:srcRect/>
                    <a:stretch>
                      <a:fillRect/>
                    </a:stretch>
                  </pic:blipFill>
                  <pic:spPr>
                    <a:xfrm>
                      <a:off x="0" y="0"/>
                      <a:ext cx="5168900" cy="2961005"/>
                    </a:xfrm>
                    <a:prstGeom prst="rect">
                      <a:avLst/>
                    </a:prstGeom>
                    <a:noFill/>
                    <a:ln w="9525">
                      <a:noFill/>
                    </a:ln>
                  </pic:spPr>
                </pic:pic>
              </a:graphicData>
            </a:graphic>
          </wp:anchor>
        </w:drawing>
      </w:r>
    </w:p>
    <w:p>
      <w:pPr>
        <w:ind w:firstLine="560"/>
        <w:rPr>
          <w:rFonts w:ascii="仿宋" w:hAnsi="仿宋" w:cs="仿宋"/>
          <w:szCs w:val="28"/>
        </w:rPr>
      </w:pPr>
      <w:r>
        <w:rPr>
          <w:rFonts w:hint="eastAsia" w:ascii="仿宋" w:hAnsi="仿宋" w:cs="仿宋"/>
          <w:szCs w:val="28"/>
        </w:rPr>
        <w:t>PPP项目合同是政府方与社会资本方依法就PPP项目合作所订立的合同。其目的是在政府方与社会资本方之间合理分配项目风险，明确双方权利义务关系，保障双方能够依据合同约定合理主张权利，妥善履行义务，确保项目全生命周期内的顺利实施。PPP项目合同是其他合同产生的基础，也是整个PPP项目合同体系的核心。根据项目行业特点、付费机制、运作方式等具体情况，PPP项目合同包括以下核心条款：引言、定义和解释；项目的范围和期限；前提条件；项目的融资；项目用地；项目的建设；项目的运营；项目的维护；股权变更限制；付费机制；履约担保；政府承诺；保险；守法义务及法律变更；不可抗力；政府方的监督和介入；违约、提前终止及终止后处理机制；项目的移交；适用法律及争议解决；合同附件等。</w:t>
      </w:r>
    </w:p>
    <w:p>
      <w:pPr>
        <w:ind w:firstLine="560"/>
        <w:rPr>
          <w:rFonts w:ascii="仿宋" w:hAnsi="仿宋" w:cs="仿宋"/>
          <w:szCs w:val="28"/>
        </w:rPr>
      </w:pPr>
      <w:r>
        <w:rPr>
          <w:rFonts w:hint="eastAsia" w:ascii="仿宋" w:hAnsi="仿宋" w:cs="仿宋"/>
          <w:szCs w:val="28"/>
        </w:rPr>
        <w:t>本方案中列举部分主要合同条款，作为政府决策、社会资本参考的边界条件，具体的PPP项目合同条款在采购阶段按照财政部《关于规范政府和社会资本合作合同管理工作的通知》（财金﹝2014﹞156号）制定。</w:t>
      </w:r>
    </w:p>
    <w:p>
      <w:pPr>
        <w:pStyle w:val="3"/>
        <w:spacing w:before="200" w:after="200" w:line="560" w:lineRule="exact"/>
        <w:ind w:firstLine="562"/>
        <w:jc w:val="left"/>
        <w:rPr>
          <w:rFonts w:ascii="Times New Roman" w:hAnsi="Times New Roman"/>
          <w:szCs w:val="28"/>
        </w:rPr>
      </w:pPr>
      <w:bookmarkStart w:id="122" w:name="_Toc468088639"/>
      <w:bookmarkStart w:id="123" w:name="_Toc5272"/>
      <w:bookmarkStart w:id="124" w:name="_Toc5135"/>
      <w:bookmarkStart w:id="125" w:name="_Toc453432023"/>
      <w:r>
        <w:rPr>
          <w:rFonts w:ascii="Times New Roman" w:hAnsi="Times New Roman"/>
          <w:szCs w:val="28"/>
        </w:rPr>
        <w:t>5.1 权利义务</w:t>
      </w:r>
      <w:bookmarkEnd w:id="122"/>
      <w:bookmarkEnd w:id="123"/>
      <w:bookmarkEnd w:id="124"/>
      <w:bookmarkEnd w:id="125"/>
    </w:p>
    <w:p>
      <w:pPr>
        <w:pStyle w:val="4"/>
        <w:spacing w:before="160" w:after="160"/>
        <w:ind w:firstLine="562"/>
        <w:rPr>
          <w:rFonts w:ascii="Times New Roman" w:hAnsi="Times New Roman"/>
          <w:szCs w:val="28"/>
        </w:rPr>
      </w:pPr>
      <w:bookmarkStart w:id="126" w:name="_Toc3563"/>
      <w:bookmarkStart w:id="127" w:name="_Toc655"/>
      <w:bookmarkStart w:id="128" w:name="_Toc468088640"/>
      <w:bookmarkStart w:id="129" w:name="_Toc19689"/>
      <w:r>
        <w:rPr>
          <w:rFonts w:ascii="Times New Roman" w:hAnsi="Times New Roman"/>
          <w:szCs w:val="28"/>
        </w:rPr>
        <w:t>5.1.1 政府方的权利</w:t>
      </w:r>
      <w:bookmarkEnd w:id="126"/>
      <w:bookmarkEnd w:id="127"/>
      <w:bookmarkEnd w:id="128"/>
      <w:bookmarkEnd w:id="129"/>
    </w:p>
    <w:p>
      <w:pPr>
        <w:ind w:firstLine="560"/>
        <w:rPr>
          <w:rFonts w:ascii="Times New Roman" w:hAnsi="Times New Roman"/>
          <w:szCs w:val="28"/>
        </w:rPr>
      </w:pPr>
      <w:r>
        <w:rPr>
          <w:rFonts w:ascii="Times New Roman" w:hAnsi="Times New Roman"/>
          <w:szCs w:val="28"/>
        </w:rPr>
        <w:t>政府方除享有PPP合同约定的权利外，还享有以下权利：</w:t>
      </w:r>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有权要求项目公司全面履行法律、法规等规定的以及本合同约定的义务；</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按照有关法律法规和政府管理的相关职能规定，行使政府监管的权利。政府方有权自行或委托专业机构对社会资本出资情况、资金的使用、设立项目公司以及对项目的设计、建设、改造、运营、维修和移交进行监督管理；</w:t>
      </w:r>
    </w:p>
    <w:p>
      <w:pPr>
        <w:ind w:firstLine="560"/>
        <w:rPr>
          <w:rFonts w:ascii="Times New Roman" w:hAnsi="Times New Roman"/>
          <w:szCs w:val="28"/>
        </w:rPr>
      </w:pPr>
      <w:r>
        <w:rPr>
          <w:rFonts w:hint="eastAsia" w:ascii="Times New Roman" w:hAnsi="Times New Roman"/>
          <w:szCs w:val="28"/>
        </w:rPr>
        <w:t>（3）</w:t>
      </w:r>
      <w:r>
        <w:rPr>
          <w:rFonts w:ascii="Times New Roman" w:hAnsi="Times New Roman"/>
          <w:szCs w:val="28"/>
        </w:rPr>
        <w:t>按照项目所在地现行规定严格履行行政监督、行政执法的管理工作；</w:t>
      </w:r>
    </w:p>
    <w:p>
      <w:pPr>
        <w:ind w:firstLine="560"/>
        <w:rPr>
          <w:rFonts w:ascii="Times New Roman" w:hAnsi="Times New Roman"/>
          <w:szCs w:val="28"/>
        </w:rPr>
      </w:pPr>
      <w:r>
        <w:rPr>
          <w:rFonts w:hint="eastAsia" w:ascii="Times New Roman" w:hAnsi="Times New Roman"/>
          <w:szCs w:val="28"/>
        </w:rPr>
        <w:t>（4）</w:t>
      </w:r>
      <w:r>
        <w:rPr>
          <w:rFonts w:ascii="Times New Roman" w:hAnsi="Times New Roman"/>
          <w:szCs w:val="28"/>
        </w:rPr>
        <w:t>对社会资本方违反法律、法规、规章等的行为依法进行处理，对社会资本方违反本合同约定的行为依法追究违约责任；</w:t>
      </w:r>
    </w:p>
    <w:p>
      <w:pPr>
        <w:ind w:firstLine="560"/>
        <w:rPr>
          <w:rFonts w:ascii="Times New Roman" w:hAnsi="Times New Roman"/>
          <w:szCs w:val="28"/>
        </w:rPr>
      </w:pPr>
      <w:r>
        <w:rPr>
          <w:rFonts w:hint="eastAsia" w:ascii="Times New Roman" w:hAnsi="Times New Roman"/>
          <w:szCs w:val="28"/>
        </w:rPr>
        <w:t>（5）</w:t>
      </w:r>
      <w:r>
        <w:rPr>
          <w:rFonts w:ascii="Times New Roman" w:hAnsi="Times New Roman"/>
          <w:szCs w:val="28"/>
        </w:rPr>
        <w:t>按合同约定享有项目超额收益分享权力；</w:t>
      </w:r>
    </w:p>
    <w:p>
      <w:pPr>
        <w:ind w:firstLine="560"/>
        <w:rPr>
          <w:rFonts w:ascii="Times New Roman" w:hAnsi="Times New Roman"/>
          <w:szCs w:val="28"/>
        </w:rPr>
      </w:pPr>
      <w:r>
        <w:rPr>
          <w:rFonts w:hint="eastAsia" w:ascii="Times New Roman" w:hAnsi="Times New Roman"/>
          <w:szCs w:val="28"/>
        </w:rPr>
        <w:t>（6）</w:t>
      </w:r>
      <w:r>
        <w:rPr>
          <w:rFonts w:ascii="Times New Roman" w:hAnsi="Times New Roman"/>
          <w:szCs w:val="28"/>
        </w:rPr>
        <w:t>法律、法规规定的其他权力。</w:t>
      </w:r>
    </w:p>
    <w:p>
      <w:pPr>
        <w:pStyle w:val="4"/>
        <w:spacing w:before="160" w:after="160"/>
        <w:ind w:firstLine="562"/>
        <w:rPr>
          <w:rFonts w:ascii="Times New Roman" w:hAnsi="Times New Roman"/>
          <w:szCs w:val="28"/>
        </w:rPr>
      </w:pPr>
      <w:bookmarkStart w:id="130" w:name="_Toc1737"/>
      <w:bookmarkStart w:id="131" w:name="_Toc468088641"/>
      <w:bookmarkStart w:id="132" w:name="_Toc12474"/>
      <w:bookmarkStart w:id="133" w:name="_Toc787"/>
      <w:r>
        <w:rPr>
          <w:rFonts w:ascii="Times New Roman" w:hAnsi="Times New Roman"/>
          <w:szCs w:val="28"/>
        </w:rPr>
        <w:t>5.1.2 政府方的义务</w:t>
      </w:r>
      <w:bookmarkEnd w:id="130"/>
      <w:bookmarkEnd w:id="131"/>
      <w:bookmarkEnd w:id="132"/>
      <w:bookmarkEnd w:id="133"/>
    </w:p>
    <w:p>
      <w:pPr>
        <w:ind w:firstLine="560"/>
        <w:rPr>
          <w:rFonts w:ascii="Times New Roman" w:hAnsi="Times New Roman"/>
          <w:szCs w:val="28"/>
        </w:rPr>
      </w:pPr>
      <w:r>
        <w:rPr>
          <w:rFonts w:ascii="Times New Roman" w:hAnsi="Times New Roman"/>
          <w:szCs w:val="28"/>
        </w:rPr>
        <w:t>政府方除履行PPP合同约定的义务外，还应履行以下义务：</w:t>
      </w:r>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遵守与项目建设、运营、维护有关的法律、法规等；</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按照国家及项目所在地有关法律及法规，在其权限和管辖范围内尽力协助社会资本及时获得设立项目公司、协助社会资本方办理项目融资贷款、设计、建设、运营及管理所必需的批文；协助社会资本方办理项目核准手续，协调审批程序，以获得本项目所需的其他批准；</w:t>
      </w:r>
    </w:p>
    <w:p>
      <w:pPr>
        <w:ind w:firstLine="560"/>
        <w:rPr>
          <w:rFonts w:ascii="Times New Roman" w:hAnsi="Times New Roman"/>
          <w:szCs w:val="28"/>
        </w:rPr>
      </w:pPr>
      <w:r>
        <w:rPr>
          <w:rFonts w:hint="eastAsia" w:ascii="Times New Roman" w:hAnsi="Times New Roman"/>
          <w:szCs w:val="28"/>
        </w:rPr>
        <w:t>（3）</w:t>
      </w:r>
      <w:r>
        <w:rPr>
          <w:rFonts w:ascii="Times New Roman" w:hAnsi="Times New Roman"/>
          <w:szCs w:val="28"/>
        </w:rPr>
        <w:t>政府方负责在法律法规及政策规章的框架下，支持项目公司收取粮食储备费、粮食加工费、商铺出租费等，以保证项目公司的合法收益；</w:t>
      </w:r>
    </w:p>
    <w:p>
      <w:pPr>
        <w:ind w:firstLine="560"/>
        <w:rPr>
          <w:rFonts w:ascii="Times New Roman" w:hAnsi="Times New Roman"/>
          <w:szCs w:val="28"/>
        </w:rPr>
      </w:pPr>
      <w:r>
        <w:rPr>
          <w:rFonts w:hint="eastAsia" w:ascii="Times New Roman" w:hAnsi="Times New Roman"/>
          <w:szCs w:val="28"/>
        </w:rPr>
        <w:t>（4）</w:t>
      </w:r>
      <w:r>
        <w:rPr>
          <w:rFonts w:ascii="Times New Roman" w:hAnsi="Times New Roman"/>
          <w:szCs w:val="28"/>
        </w:rPr>
        <w:t>由于法律、法规、政策的变化导致本项目无法继续履行的，政府方将按照本合同的约定，对社会资本方进行合理的补偿；</w:t>
      </w:r>
    </w:p>
    <w:p>
      <w:pPr>
        <w:ind w:firstLine="560"/>
        <w:rPr>
          <w:rFonts w:ascii="Times New Roman" w:hAnsi="Times New Roman"/>
          <w:szCs w:val="28"/>
        </w:rPr>
      </w:pPr>
      <w:r>
        <w:rPr>
          <w:rFonts w:hint="eastAsia" w:ascii="Times New Roman" w:hAnsi="Times New Roman"/>
          <w:szCs w:val="28"/>
        </w:rPr>
        <w:t>（5）</w:t>
      </w:r>
      <w:r>
        <w:rPr>
          <w:rFonts w:ascii="Times New Roman" w:hAnsi="Times New Roman"/>
          <w:szCs w:val="28"/>
        </w:rPr>
        <w:t>政府方不应干预项目的正常实施，除非此种干预是为了保护公共利益及安全所必需的，或是有法律、法规所赋予的权利；</w:t>
      </w:r>
    </w:p>
    <w:p>
      <w:pPr>
        <w:ind w:firstLine="560"/>
        <w:rPr>
          <w:rFonts w:ascii="Times New Roman" w:hAnsi="Times New Roman"/>
          <w:szCs w:val="28"/>
        </w:rPr>
      </w:pPr>
      <w:r>
        <w:rPr>
          <w:rFonts w:hint="eastAsia" w:ascii="Times New Roman" w:hAnsi="Times New Roman"/>
          <w:szCs w:val="28"/>
        </w:rPr>
        <w:t>（6）按照PPP项目合同约定及时对项目公司提供可行性缺口补助；</w:t>
      </w:r>
    </w:p>
    <w:p>
      <w:pPr>
        <w:ind w:firstLine="560"/>
        <w:rPr>
          <w:rFonts w:ascii="Times New Roman" w:hAnsi="Times New Roman"/>
          <w:szCs w:val="28"/>
        </w:rPr>
      </w:pPr>
      <w:r>
        <w:rPr>
          <w:rFonts w:hint="eastAsia" w:ascii="Times New Roman" w:hAnsi="Times New Roman"/>
          <w:szCs w:val="28"/>
        </w:rPr>
        <w:t>（7）</w:t>
      </w:r>
      <w:r>
        <w:rPr>
          <w:rFonts w:ascii="Times New Roman" w:hAnsi="Times New Roman"/>
          <w:szCs w:val="28"/>
        </w:rPr>
        <w:t>按风险分配的约定，承担应由其承担的风险；</w:t>
      </w:r>
    </w:p>
    <w:p>
      <w:pPr>
        <w:ind w:firstLine="560"/>
        <w:rPr>
          <w:rFonts w:ascii="Times New Roman" w:hAnsi="Times New Roman"/>
          <w:szCs w:val="28"/>
        </w:rPr>
      </w:pPr>
      <w:r>
        <w:rPr>
          <w:rFonts w:hint="eastAsia" w:ascii="Times New Roman" w:hAnsi="Times New Roman"/>
          <w:szCs w:val="28"/>
        </w:rPr>
        <w:t>（8）</w:t>
      </w:r>
      <w:r>
        <w:rPr>
          <w:rFonts w:ascii="Times New Roman" w:hAnsi="Times New Roman"/>
          <w:szCs w:val="28"/>
        </w:rPr>
        <w:t>法律、法规规定的其他义务。</w:t>
      </w:r>
    </w:p>
    <w:p>
      <w:pPr>
        <w:pStyle w:val="4"/>
        <w:spacing w:before="160" w:after="160"/>
        <w:ind w:firstLine="562"/>
        <w:rPr>
          <w:rFonts w:ascii="Times New Roman" w:hAnsi="Times New Roman"/>
          <w:szCs w:val="28"/>
        </w:rPr>
      </w:pPr>
      <w:bookmarkStart w:id="134" w:name="_Toc4230"/>
      <w:bookmarkStart w:id="135" w:name="_Toc13720"/>
      <w:bookmarkStart w:id="136" w:name="_Toc30763"/>
      <w:bookmarkStart w:id="137" w:name="_Toc468088642"/>
      <w:r>
        <w:rPr>
          <w:rFonts w:ascii="Times New Roman" w:hAnsi="Times New Roman"/>
          <w:szCs w:val="28"/>
        </w:rPr>
        <w:t>5.1.3 社会资本方的权利</w:t>
      </w:r>
      <w:bookmarkEnd w:id="134"/>
      <w:bookmarkEnd w:id="135"/>
      <w:bookmarkEnd w:id="136"/>
      <w:bookmarkEnd w:id="137"/>
    </w:p>
    <w:p>
      <w:pPr>
        <w:ind w:firstLine="560"/>
        <w:rPr>
          <w:rFonts w:ascii="Times New Roman" w:hAnsi="Times New Roman"/>
          <w:szCs w:val="28"/>
        </w:rPr>
      </w:pPr>
      <w:r>
        <w:rPr>
          <w:rFonts w:ascii="Times New Roman" w:hAnsi="Times New Roman"/>
          <w:szCs w:val="28"/>
        </w:rPr>
        <w:t>社会资本方除享有PPP合同约定的权利外，还享有以下权利：</w:t>
      </w:r>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有权要求政府方全面履行法律、法规等规定的以及本合同约定的义务；</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享有政府授予的特许经营权，并按合同约定获得政府支持的权利；</w:t>
      </w:r>
    </w:p>
    <w:p>
      <w:pPr>
        <w:ind w:firstLine="560"/>
        <w:rPr>
          <w:rFonts w:ascii="Times New Roman" w:hAnsi="Times New Roman"/>
          <w:szCs w:val="28"/>
        </w:rPr>
      </w:pPr>
      <w:r>
        <w:rPr>
          <w:rFonts w:hint="eastAsia" w:ascii="Times New Roman" w:hAnsi="Times New Roman"/>
          <w:szCs w:val="28"/>
        </w:rPr>
        <w:t>（3）</w:t>
      </w:r>
      <w:r>
        <w:rPr>
          <w:rFonts w:ascii="Times New Roman" w:hAnsi="Times New Roman"/>
          <w:szCs w:val="28"/>
        </w:rPr>
        <w:t>有权对政府方未按照法律、法规等以及本合同约定履行义务的行为予以投诉、控告、申诉，对政府方违反本合同约定的行为依法追究违约责任；</w:t>
      </w:r>
    </w:p>
    <w:p>
      <w:pPr>
        <w:ind w:firstLine="560"/>
        <w:rPr>
          <w:rFonts w:ascii="Times New Roman" w:hAnsi="Times New Roman"/>
          <w:szCs w:val="28"/>
        </w:rPr>
      </w:pPr>
      <w:r>
        <w:rPr>
          <w:rFonts w:hint="eastAsia" w:ascii="Times New Roman" w:hAnsi="Times New Roman"/>
          <w:szCs w:val="28"/>
        </w:rPr>
        <w:t>（4）</w:t>
      </w:r>
      <w:r>
        <w:rPr>
          <w:rFonts w:ascii="Times New Roman" w:hAnsi="Times New Roman"/>
          <w:szCs w:val="28"/>
        </w:rPr>
        <w:t>有权对第三人侵害项目特许经营权的行为提起违约责任；</w:t>
      </w:r>
    </w:p>
    <w:p>
      <w:pPr>
        <w:ind w:firstLine="560"/>
        <w:rPr>
          <w:rFonts w:ascii="Times New Roman" w:hAnsi="Times New Roman"/>
          <w:szCs w:val="28"/>
        </w:rPr>
      </w:pPr>
      <w:r>
        <w:rPr>
          <w:rFonts w:hint="eastAsia" w:ascii="Times New Roman" w:hAnsi="Times New Roman"/>
          <w:szCs w:val="28"/>
        </w:rPr>
        <w:t>（5）</w:t>
      </w:r>
      <w:r>
        <w:rPr>
          <w:rFonts w:ascii="Times New Roman" w:hAnsi="Times New Roman"/>
          <w:szCs w:val="28"/>
        </w:rPr>
        <w:t>按项目合同约定实施项目，获得相应回报的权利；</w:t>
      </w:r>
    </w:p>
    <w:p>
      <w:pPr>
        <w:ind w:firstLine="560"/>
        <w:rPr>
          <w:rFonts w:ascii="Times New Roman" w:hAnsi="Times New Roman"/>
          <w:szCs w:val="28"/>
        </w:rPr>
      </w:pPr>
      <w:r>
        <w:rPr>
          <w:rFonts w:hint="eastAsia" w:ascii="Times New Roman" w:hAnsi="Times New Roman"/>
          <w:szCs w:val="28"/>
        </w:rPr>
        <w:t>（6）</w:t>
      </w:r>
      <w:r>
        <w:rPr>
          <w:rFonts w:ascii="Times New Roman" w:hAnsi="Times New Roman"/>
          <w:szCs w:val="28"/>
        </w:rPr>
        <w:t>在特许经营期内，享有国家和省以及项目所在地、市给予的优惠政策；</w:t>
      </w:r>
    </w:p>
    <w:p>
      <w:pPr>
        <w:ind w:firstLine="560"/>
        <w:rPr>
          <w:rFonts w:ascii="Times New Roman" w:hAnsi="Times New Roman"/>
          <w:szCs w:val="28"/>
        </w:rPr>
      </w:pPr>
      <w:r>
        <w:rPr>
          <w:rFonts w:hint="eastAsia" w:ascii="Times New Roman" w:hAnsi="Times New Roman"/>
          <w:szCs w:val="28"/>
        </w:rPr>
        <w:t>（7）</w:t>
      </w:r>
      <w:r>
        <w:rPr>
          <w:rFonts w:ascii="Times New Roman" w:hAnsi="Times New Roman"/>
          <w:szCs w:val="28"/>
        </w:rPr>
        <w:t>法律、法规规定的其他权力。</w:t>
      </w:r>
    </w:p>
    <w:p>
      <w:pPr>
        <w:pStyle w:val="4"/>
        <w:spacing w:before="160" w:after="160"/>
        <w:ind w:firstLine="562"/>
        <w:rPr>
          <w:rFonts w:ascii="Times New Roman" w:hAnsi="Times New Roman"/>
          <w:szCs w:val="28"/>
        </w:rPr>
      </w:pPr>
      <w:bookmarkStart w:id="138" w:name="_Toc468088643"/>
      <w:bookmarkStart w:id="139" w:name="_Toc17343"/>
      <w:bookmarkStart w:id="140" w:name="_Toc12416"/>
      <w:bookmarkStart w:id="141" w:name="_Toc18139"/>
      <w:r>
        <w:rPr>
          <w:rFonts w:ascii="Times New Roman" w:hAnsi="Times New Roman"/>
          <w:szCs w:val="28"/>
        </w:rPr>
        <w:t>5.1.4 社会资本方的义务</w:t>
      </w:r>
      <w:bookmarkEnd w:id="138"/>
      <w:bookmarkEnd w:id="139"/>
      <w:bookmarkEnd w:id="140"/>
      <w:bookmarkEnd w:id="141"/>
    </w:p>
    <w:p>
      <w:pPr>
        <w:ind w:firstLine="560"/>
        <w:rPr>
          <w:rFonts w:ascii="Times New Roman" w:hAnsi="Times New Roman"/>
          <w:szCs w:val="28"/>
        </w:rPr>
      </w:pPr>
      <w:r>
        <w:rPr>
          <w:rFonts w:ascii="Times New Roman" w:hAnsi="Times New Roman"/>
          <w:szCs w:val="28"/>
        </w:rPr>
        <w:t>社会资本方除履行PPP合同约定的义务外，还应履行以下义务：</w:t>
      </w:r>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遵守与项目建设、运营、维护有关的法律、法规等；承担按合同约定社会资本方应承担的风险，向社会提供公共服务；</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接受政府方及其他主管部门对本项目建设资金的筹措与使用、招标投标活动、建设施工和运营管理各方面的监督和检查；接受有关主管部门的行业管理及监督、检查；</w:t>
      </w:r>
    </w:p>
    <w:p>
      <w:pPr>
        <w:ind w:firstLine="560"/>
        <w:rPr>
          <w:rFonts w:ascii="Times New Roman" w:hAnsi="Times New Roman"/>
          <w:szCs w:val="28"/>
        </w:rPr>
      </w:pPr>
      <w:r>
        <w:rPr>
          <w:rFonts w:hint="eastAsia" w:ascii="Times New Roman" w:hAnsi="Times New Roman"/>
          <w:szCs w:val="28"/>
        </w:rPr>
        <w:t>（3）</w:t>
      </w:r>
      <w:r>
        <w:rPr>
          <w:rFonts w:ascii="Times New Roman" w:hAnsi="Times New Roman"/>
          <w:szCs w:val="28"/>
        </w:rPr>
        <w:t>按有关规定接受并配合国家审计机关或住建主管部门的审计；项目未经审计，不得办理竣工验收手续，不得报批竣工决算；</w:t>
      </w:r>
    </w:p>
    <w:p>
      <w:pPr>
        <w:ind w:firstLine="560"/>
        <w:rPr>
          <w:rFonts w:ascii="Times New Roman" w:hAnsi="Times New Roman"/>
          <w:szCs w:val="28"/>
        </w:rPr>
      </w:pPr>
      <w:r>
        <w:rPr>
          <w:rFonts w:hint="eastAsia" w:ascii="Times New Roman" w:hAnsi="Times New Roman"/>
          <w:szCs w:val="28"/>
        </w:rPr>
        <w:t>（4）</w:t>
      </w:r>
      <w:r>
        <w:rPr>
          <w:rFonts w:ascii="Times New Roman" w:hAnsi="Times New Roman"/>
          <w:szCs w:val="28"/>
        </w:rPr>
        <w:t>严格执行项目法人责任制、项目资本金制、招标投标制、合同管理制、工程监理制等有关规定；</w:t>
      </w:r>
    </w:p>
    <w:p>
      <w:pPr>
        <w:ind w:firstLine="560"/>
        <w:rPr>
          <w:rFonts w:ascii="Times New Roman" w:hAnsi="Times New Roman"/>
          <w:szCs w:val="28"/>
        </w:rPr>
      </w:pPr>
      <w:r>
        <w:rPr>
          <w:rFonts w:hint="eastAsia" w:ascii="Times New Roman" w:hAnsi="Times New Roman"/>
          <w:szCs w:val="28"/>
        </w:rPr>
        <w:t>（5）</w:t>
      </w:r>
      <w:r>
        <w:rPr>
          <w:rFonts w:ascii="Times New Roman" w:hAnsi="Times New Roman"/>
          <w:szCs w:val="28"/>
        </w:rPr>
        <w:t>依法依约建立、健全并执行包括计划、统计、技术、财务、物资资料、设备设施等在内的各项管理制度，全面完成项目建设、运营及管养任务；</w:t>
      </w:r>
    </w:p>
    <w:p>
      <w:pPr>
        <w:ind w:firstLine="560"/>
        <w:rPr>
          <w:rFonts w:ascii="Times New Roman" w:hAnsi="Times New Roman"/>
          <w:szCs w:val="28"/>
        </w:rPr>
      </w:pPr>
      <w:r>
        <w:rPr>
          <w:rFonts w:hint="eastAsia" w:ascii="Times New Roman" w:hAnsi="Times New Roman"/>
          <w:szCs w:val="28"/>
        </w:rPr>
        <w:t>（6）</w:t>
      </w:r>
      <w:r>
        <w:rPr>
          <w:rFonts w:ascii="Times New Roman" w:hAnsi="Times New Roman"/>
          <w:szCs w:val="28"/>
        </w:rPr>
        <w:t>按照本合同的规定筹措项目建设、运营、维护所必需的全部资金。社会资本方应当按照本合同及相关规定管理和使用项目建设资金，做到专款专用，专户储存；按照工程进度，及时支付工程款；按照规定的期限及时退还保证金、办理工程结算；不得拖欠工程款和征地拆迁款，不得挤占挪用建设资金；</w:t>
      </w:r>
    </w:p>
    <w:p>
      <w:pPr>
        <w:ind w:firstLine="560"/>
        <w:rPr>
          <w:rFonts w:ascii="Times New Roman" w:hAnsi="Times New Roman"/>
          <w:szCs w:val="28"/>
        </w:rPr>
      </w:pPr>
      <w:r>
        <w:rPr>
          <w:rFonts w:hint="eastAsia" w:ascii="Times New Roman" w:hAnsi="Times New Roman"/>
          <w:szCs w:val="28"/>
        </w:rPr>
        <w:t>（7）</w:t>
      </w:r>
      <w:r>
        <w:rPr>
          <w:rFonts w:ascii="Times New Roman" w:hAnsi="Times New Roman"/>
          <w:szCs w:val="28"/>
        </w:rPr>
        <w:t>采取有效、可行的建设、运营管理方案；</w:t>
      </w:r>
    </w:p>
    <w:p>
      <w:pPr>
        <w:ind w:firstLine="560"/>
        <w:rPr>
          <w:rFonts w:ascii="Times New Roman" w:hAnsi="Times New Roman"/>
          <w:szCs w:val="28"/>
        </w:rPr>
      </w:pPr>
      <w:r>
        <w:rPr>
          <w:rFonts w:hint="eastAsia" w:ascii="Times New Roman" w:hAnsi="Times New Roman"/>
          <w:szCs w:val="28"/>
        </w:rPr>
        <w:t>（8）</w:t>
      </w:r>
      <w:r>
        <w:rPr>
          <w:rFonts w:ascii="Times New Roman" w:hAnsi="Times New Roman"/>
          <w:szCs w:val="28"/>
        </w:rPr>
        <w:t>严格执行国家规定的基本建设程序，不得违反或者擅自简化基本建设程序，依法办理项目建设、运营管理中各项报批、备案等手续；严格执行本行业的强制性标准、各类技术规范、标准及规程的要求；</w:t>
      </w:r>
    </w:p>
    <w:p>
      <w:pPr>
        <w:ind w:firstLine="560"/>
        <w:rPr>
          <w:rFonts w:ascii="Times New Roman" w:hAnsi="Times New Roman"/>
          <w:szCs w:val="28"/>
        </w:rPr>
      </w:pPr>
      <w:r>
        <w:rPr>
          <w:rFonts w:hint="eastAsia" w:ascii="Times New Roman" w:hAnsi="Times New Roman"/>
          <w:szCs w:val="28"/>
        </w:rPr>
        <w:t>（9）</w:t>
      </w:r>
      <w:r>
        <w:rPr>
          <w:rFonts w:ascii="Times New Roman" w:hAnsi="Times New Roman"/>
          <w:szCs w:val="28"/>
        </w:rPr>
        <w:t>对项目的工程质量和财产、人员安全责任。社会资本方应按照国家有关规定建立健全质量和安全保证体系，落实质量和安全生产责任制，施工中应加强对承包人的监督和管理，运营维护期应加强对职工的教育与培训，确保项目的工程质量和财产、人员安全；</w:t>
      </w:r>
    </w:p>
    <w:p>
      <w:pPr>
        <w:ind w:firstLine="560"/>
        <w:rPr>
          <w:rFonts w:ascii="Times New Roman" w:hAnsi="Times New Roman"/>
          <w:szCs w:val="28"/>
        </w:rPr>
      </w:pPr>
      <w:r>
        <w:rPr>
          <w:rFonts w:hint="eastAsia" w:ascii="Times New Roman" w:hAnsi="Times New Roman"/>
          <w:szCs w:val="28"/>
        </w:rPr>
        <w:t>（10）</w:t>
      </w:r>
      <w:r>
        <w:rPr>
          <w:rFonts w:ascii="Times New Roman" w:hAnsi="Times New Roman"/>
          <w:szCs w:val="28"/>
        </w:rPr>
        <w:t>严格执行有关环境保护和土地管理的规定，依法做好项目的环境设计、施工及竣工验收，采取有效措施保护环境和节约用地。在实施本项目的过程中因环境污染和水土流失而造成人身伤亡、财产损失、罚款、经济赔偿、诉讼及其他一切责任，均由社会资本方负责；</w:t>
      </w:r>
    </w:p>
    <w:p>
      <w:pPr>
        <w:ind w:firstLine="560"/>
        <w:rPr>
          <w:rFonts w:ascii="Times New Roman" w:hAnsi="Times New Roman"/>
          <w:szCs w:val="28"/>
        </w:rPr>
      </w:pPr>
      <w:r>
        <w:rPr>
          <w:rFonts w:hint="eastAsia" w:ascii="Times New Roman" w:hAnsi="Times New Roman"/>
          <w:szCs w:val="28"/>
        </w:rPr>
        <w:t>（11）</w:t>
      </w:r>
      <w:r>
        <w:rPr>
          <w:rFonts w:ascii="Times New Roman" w:hAnsi="Times New Roman"/>
          <w:szCs w:val="28"/>
        </w:rPr>
        <w:t>采取措施保护在项目施工、运营或维护过程中可能发掘出的文物、古迹等，并承担相应费用；</w:t>
      </w:r>
    </w:p>
    <w:p>
      <w:pPr>
        <w:ind w:firstLine="560"/>
        <w:rPr>
          <w:rFonts w:ascii="Times New Roman" w:hAnsi="Times New Roman"/>
          <w:szCs w:val="28"/>
        </w:rPr>
      </w:pPr>
      <w:r>
        <w:rPr>
          <w:rFonts w:hint="eastAsia" w:ascii="Times New Roman" w:hAnsi="Times New Roman"/>
          <w:szCs w:val="28"/>
        </w:rPr>
        <w:t>（12）</w:t>
      </w:r>
      <w:r>
        <w:rPr>
          <w:rFonts w:ascii="Times New Roman" w:hAnsi="Times New Roman"/>
          <w:szCs w:val="28"/>
        </w:rPr>
        <w:t>按照规定建立本行业从业单位信用管理台账，及时、客观、公正地对从业单位进行信用评价；</w:t>
      </w:r>
    </w:p>
    <w:p>
      <w:pPr>
        <w:ind w:firstLine="560"/>
        <w:rPr>
          <w:rFonts w:ascii="Times New Roman" w:hAnsi="Times New Roman"/>
          <w:szCs w:val="28"/>
        </w:rPr>
      </w:pPr>
      <w:r>
        <w:rPr>
          <w:rFonts w:hint="eastAsia" w:ascii="Times New Roman" w:hAnsi="Times New Roman"/>
          <w:szCs w:val="28"/>
        </w:rPr>
        <w:t>（13）</w:t>
      </w:r>
      <w:r>
        <w:rPr>
          <w:rFonts w:ascii="Times New Roman" w:hAnsi="Times New Roman"/>
          <w:szCs w:val="28"/>
        </w:rPr>
        <w:t>为项目的设计、施工、运营、维护及管理的需要，向保险公司投保各种必须的保险，并自行承担保险费用。上述保险的保险单副本应报政府方核备。未办理保险所造成的损失由社会资本方自行承担；</w:t>
      </w:r>
    </w:p>
    <w:p>
      <w:pPr>
        <w:ind w:firstLine="560"/>
        <w:rPr>
          <w:rFonts w:ascii="Times New Roman" w:hAnsi="Times New Roman"/>
          <w:szCs w:val="28"/>
        </w:rPr>
      </w:pPr>
      <w:r>
        <w:rPr>
          <w:rFonts w:hint="eastAsia" w:ascii="Times New Roman" w:hAnsi="Times New Roman"/>
          <w:szCs w:val="28"/>
        </w:rPr>
        <w:t>（14）</w:t>
      </w:r>
      <w:r>
        <w:rPr>
          <w:rFonts w:ascii="Times New Roman" w:hAnsi="Times New Roman"/>
          <w:szCs w:val="28"/>
        </w:rPr>
        <w:t>按照有关技术政策和技术规范要求，定期或经常性地对项目运行状况进行检测、检查和维护，是项目及其附属设施经常处于良好状态，并定期向政府方报送设施、设备的维护情况；</w:t>
      </w:r>
    </w:p>
    <w:p>
      <w:pPr>
        <w:ind w:firstLine="560"/>
        <w:rPr>
          <w:rFonts w:ascii="Times New Roman" w:hAnsi="Times New Roman"/>
          <w:szCs w:val="28"/>
        </w:rPr>
      </w:pPr>
      <w:r>
        <w:rPr>
          <w:rFonts w:hint="eastAsia" w:ascii="Times New Roman" w:hAnsi="Times New Roman"/>
          <w:szCs w:val="28"/>
        </w:rPr>
        <w:t>（15）</w:t>
      </w:r>
      <w:r>
        <w:rPr>
          <w:rFonts w:ascii="Times New Roman" w:hAnsi="Times New Roman"/>
          <w:szCs w:val="28"/>
        </w:rPr>
        <w:t>在特许经营期限界满后以良好的运营和养护状态将项目所有设施无偿移交给政府方指定机构；</w:t>
      </w:r>
    </w:p>
    <w:p>
      <w:pPr>
        <w:ind w:firstLine="560"/>
        <w:rPr>
          <w:rFonts w:ascii="Times New Roman" w:hAnsi="Times New Roman"/>
          <w:szCs w:val="28"/>
        </w:rPr>
      </w:pPr>
      <w:r>
        <w:rPr>
          <w:rFonts w:hint="eastAsia" w:ascii="Times New Roman" w:hAnsi="Times New Roman"/>
          <w:szCs w:val="28"/>
        </w:rPr>
        <w:t>（16）</w:t>
      </w:r>
      <w:r>
        <w:rPr>
          <w:rFonts w:ascii="Times New Roman" w:hAnsi="Times New Roman"/>
          <w:szCs w:val="28"/>
        </w:rPr>
        <w:t>按照《中华人民共和国档案法》等有关法律、法规的规定进行档案管理；</w:t>
      </w:r>
    </w:p>
    <w:p>
      <w:pPr>
        <w:ind w:firstLine="560"/>
        <w:rPr>
          <w:rFonts w:ascii="Times New Roman" w:hAnsi="Times New Roman"/>
          <w:szCs w:val="28"/>
        </w:rPr>
      </w:pPr>
      <w:r>
        <w:rPr>
          <w:rFonts w:hint="eastAsia" w:ascii="Times New Roman" w:hAnsi="Times New Roman"/>
          <w:szCs w:val="28"/>
        </w:rPr>
        <w:t>（17）</w:t>
      </w:r>
      <w:r>
        <w:rPr>
          <w:rFonts w:ascii="Times New Roman" w:hAnsi="Times New Roman"/>
          <w:szCs w:val="28"/>
        </w:rPr>
        <w:t>协助和配合城管和公安等部门依法行政；</w:t>
      </w:r>
    </w:p>
    <w:p>
      <w:pPr>
        <w:ind w:firstLine="560"/>
        <w:rPr>
          <w:rFonts w:ascii="Times New Roman" w:hAnsi="Times New Roman"/>
          <w:szCs w:val="28"/>
        </w:rPr>
      </w:pPr>
      <w:r>
        <w:rPr>
          <w:rFonts w:hint="eastAsia" w:ascii="Times New Roman" w:hAnsi="Times New Roman"/>
          <w:szCs w:val="28"/>
        </w:rPr>
        <w:t>（18）</w:t>
      </w:r>
      <w:r>
        <w:rPr>
          <w:rFonts w:ascii="Times New Roman" w:hAnsi="Times New Roman"/>
          <w:szCs w:val="28"/>
        </w:rPr>
        <w:t>依法缴纳有关税费；</w:t>
      </w:r>
    </w:p>
    <w:p>
      <w:pPr>
        <w:ind w:firstLine="560"/>
        <w:rPr>
          <w:rFonts w:ascii="Times New Roman" w:hAnsi="Times New Roman"/>
          <w:szCs w:val="28"/>
        </w:rPr>
      </w:pPr>
      <w:r>
        <w:rPr>
          <w:rFonts w:hint="eastAsia" w:ascii="Times New Roman" w:hAnsi="Times New Roman"/>
          <w:szCs w:val="28"/>
        </w:rPr>
        <w:t>（19）</w:t>
      </w:r>
      <w:r>
        <w:rPr>
          <w:rFonts w:ascii="Times New Roman" w:hAnsi="Times New Roman"/>
          <w:szCs w:val="28"/>
        </w:rPr>
        <w:t>遵守法律、法规规定的其他义务。</w:t>
      </w:r>
    </w:p>
    <w:p>
      <w:pPr>
        <w:pStyle w:val="3"/>
        <w:spacing w:before="200" w:after="200" w:line="560" w:lineRule="exact"/>
        <w:ind w:firstLine="562"/>
        <w:jc w:val="left"/>
        <w:rPr>
          <w:rFonts w:ascii="Times New Roman" w:hAnsi="Times New Roman"/>
          <w:szCs w:val="28"/>
        </w:rPr>
      </w:pPr>
      <w:bookmarkStart w:id="142" w:name="_Toc31222"/>
      <w:bookmarkStart w:id="143" w:name="_Toc468088644"/>
      <w:bookmarkStart w:id="144" w:name="_Toc3588"/>
      <w:r>
        <w:rPr>
          <w:rFonts w:ascii="Times New Roman" w:hAnsi="Times New Roman"/>
          <w:szCs w:val="28"/>
        </w:rPr>
        <w:t>5.2 调整衔接</w:t>
      </w:r>
      <w:bookmarkEnd w:id="142"/>
      <w:bookmarkEnd w:id="143"/>
      <w:bookmarkEnd w:id="144"/>
    </w:p>
    <w:p>
      <w:pPr>
        <w:pStyle w:val="4"/>
        <w:spacing w:before="160" w:after="160"/>
        <w:ind w:firstLine="562"/>
        <w:rPr>
          <w:rFonts w:ascii="Times New Roman" w:hAnsi="Times New Roman"/>
          <w:szCs w:val="28"/>
        </w:rPr>
      </w:pPr>
      <w:bookmarkStart w:id="145" w:name="_Toc7714"/>
      <w:bookmarkStart w:id="146" w:name="_Toc453432030"/>
      <w:bookmarkStart w:id="147" w:name="_Toc468088645"/>
      <w:bookmarkStart w:id="148" w:name="_Toc20602"/>
      <w:r>
        <w:rPr>
          <w:rFonts w:ascii="Times New Roman" w:hAnsi="Times New Roman"/>
          <w:szCs w:val="28"/>
        </w:rPr>
        <w:t>5.2.1 应急处置</w:t>
      </w:r>
      <w:bookmarkEnd w:id="145"/>
      <w:bookmarkEnd w:id="146"/>
      <w:bookmarkEnd w:id="147"/>
      <w:bookmarkEnd w:id="148"/>
    </w:p>
    <w:p>
      <w:pPr>
        <w:ind w:firstLine="560"/>
        <w:rPr>
          <w:rFonts w:ascii="Times New Roman" w:hAnsi="Times New Roman"/>
          <w:szCs w:val="28"/>
        </w:rPr>
      </w:pPr>
      <w:r>
        <w:rPr>
          <w:rFonts w:ascii="Times New Roman" w:hAnsi="Times New Roman"/>
          <w:szCs w:val="28"/>
        </w:rPr>
        <w:t>项目公司应针对项目建设、运营过程中的环境污染、重大安全事故、自然灾害等事故制订应急处置预案，并报政府方批准后实施。当出现上述紧急情况时，项目公司应及时报告政府方，并按应急处置预案的规定执行。</w:t>
      </w:r>
    </w:p>
    <w:p>
      <w:pPr>
        <w:pStyle w:val="4"/>
        <w:spacing w:before="160" w:after="160"/>
        <w:ind w:firstLine="562"/>
        <w:rPr>
          <w:rFonts w:ascii="Times New Roman" w:hAnsi="Times New Roman"/>
          <w:szCs w:val="28"/>
        </w:rPr>
      </w:pPr>
      <w:bookmarkStart w:id="149" w:name="_Toc453432031"/>
      <w:bookmarkStart w:id="150" w:name="_Toc468088646"/>
      <w:bookmarkStart w:id="151" w:name="_Toc32563"/>
      <w:bookmarkStart w:id="152" w:name="_Toc20453"/>
      <w:r>
        <w:rPr>
          <w:rFonts w:ascii="Times New Roman" w:hAnsi="Times New Roman"/>
          <w:szCs w:val="28"/>
        </w:rPr>
        <w:t>5.2.2 临时接管</w:t>
      </w:r>
      <w:bookmarkEnd w:id="149"/>
      <w:bookmarkEnd w:id="150"/>
      <w:bookmarkEnd w:id="151"/>
      <w:bookmarkEnd w:id="152"/>
    </w:p>
    <w:p>
      <w:pPr>
        <w:ind w:firstLine="560"/>
        <w:rPr>
          <w:rFonts w:ascii="Times New Roman" w:hAnsi="Times New Roman"/>
          <w:szCs w:val="28"/>
        </w:rPr>
      </w:pPr>
      <w:r>
        <w:rPr>
          <w:rFonts w:ascii="Times New Roman" w:hAnsi="Times New Roman"/>
          <w:szCs w:val="28"/>
        </w:rPr>
        <w:t>根据现行立法规定，出现下列任意一种情形，政府方有权临时接管项目：</w:t>
      </w:r>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项目公司未违约情形下的介入</w:t>
      </w:r>
    </w:p>
    <w:p>
      <w:pPr>
        <w:ind w:firstLine="560"/>
        <w:rPr>
          <w:rFonts w:ascii="Times New Roman" w:hAnsi="Times New Roman"/>
          <w:szCs w:val="28"/>
        </w:rPr>
      </w:pPr>
      <w:r>
        <w:rPr>
          <w:rFonts w:ascii="Times New Roman" w:hAnsi="Times New Roman"/>
          <w:szCs w:val="28"/>
        </w:rPr>
        <w:t>本项目存在危及人身健康或安全、财产安全或环境安全的风险；</w:t>
      </w:r>
    </w:p>
    <w:p>
      <w:pPr>
        <w:ind w:firstLine="560"/>
        <w:rPr>
          <w:rFonts w:ascii="Times New Roman" w:hAnsi="Times New Roman"/>
          <w:szCs w:val="28"/>
        </w:rPr>
      </w:pPr>
      <w:r>
        <w:rPr>
          <w:rFonts w:ascii="Times New Roman" w:hAnsi="Times New Roman"/>
          <w:szCs w:val="28"/>
        </w:rPr>
        <w:t>介入项目以解除或行使政府的法定责任；</w:t>
      </w:r>
    </w:p>
    <w:p>
      <w:pPr>
        <w:ind w:firstLine="560"/>
        <w:rPr>
          <w:rFonts w:ascii="Times New Roman" w:hAnsi="Times New Roman"/>
          <w:szCs w:val="28"/>
        </w:rPr>
      </w:pPr>
      <w:r>
        <w:rPr>
          <w:rFonts w:ascii="Times New Roman" w:hAnsi="Times New Roman"/>
          <w:szCs w:val="28"/>
        </w:rPr>
        <w:t>发生紧急情况，且政府合理认为该紧急情况将会导致人员伤亡、严重财产损失或造成环境污染，并且会影响项目的正常实施。</w:t>
      </w:r>
    </w:p>
    <w:p>
      <w:pPr>
        <w:ind w:firstLine="560"/>
        <w:rPr>
          <w:rFonts w:ascii="Times New Roman" w:hAnsi="Times New Roman"/>
          <w:szCs w:val="28"/>
        </w:rPr>
      </w:pPr>
      <w:r>
        <w:rPr>
          <w:rFonts w:ascii="Times New Roman" w:hAnsi="Times New Roman"/>
          <w:szCs w:val="28"/>
        </w:rPr>
        <w:t>政府方在介入项目之前须按PPP项目合同中约定的通知程序提前通知项目公司，并且应当遵守合同中关于行使介入权的要求。在政府方介入的范围内，如果项目公司的任何义务或工作无法履行，这些义务或工作将被豁免。因政府方介入引发的所有损失及额外费用均由政府承担。</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项目公司违约情形下的介入</w:t>
      </w:r>
    </w:p>
    <w:p>
      <w:pPr>
        <w:ind w:firstLine="560"/>
        <w:rPr>
          <w:rFonts w:ascii="Times New Roman" w:hAnsi="Times New Roman"/>
          <w:szCs w:val="28"/>
        </w:rPr>
      </w:pPr>
      <w:r>
        <w:rPr>
          <w:rFonts w:ascii="Times New Roman" w:hAnsi="Times New Roman"/>
          <w:szCs w:val="28"/>
        </w:rPr>
        <w:t>未经政府批准，擅自转让、出租特许经营权的；</w:t>
      </w:r>
    </w:p>
    <w:p>
      <w:pPr>
        <w:ind w:firstLine="560"/>
        <w:rPr>
          <w:rFonts w:ascii="Times New Roman" w:hAnsi="Times New Roman"/>
          <w:szCs w:val="28"/>
        </w:rPr>
      </w:pPr>
      <w:r>
        <w:rPr>
          <w:rFonts w:ascii="Times New Roman" w:hAnsi="Times New Roman"/>
          <w:szCs w:val="28"/>
        </w:rPr>
        <w:t>未经政府批准，擅自将所经营的财产进行处置或者抵押的；</w:t>
      </w:r>
    </w:p>
    <w:p>
      <w:pPr>
        <w:ind w:firstLine="560"/>
        <w:rPr>
          <w:rFonts w:ascii="Times New Roman" w:hAnsi="Times New Roman"/>
          <w:szCs w:val="28"/>
        </w:rPr>
      </w:pPr>
      <w:r>
        <w:rPr>
          <w:rFonts w:ascii="Times New Roman" w:hAnsi="Times New Roman"/>
          <w:szCs w:val="28"/>
        </w:rPr>
        <w:t>因管理不善，发生重大质量、生产安全事故的；</w:t>
      </w:r>
    </w:p>
    <w:p>
      <w:pPr>
        <w:ind w:firstLine="560"/>
        <w:rPr>
          <w:rFonts w:ascii="Times New Roman" w:hAnsi="Times New Roman"/>
          <w:szCs w:val="28"/>
        </w:rPr>
      </w:pPr>
      <w:r>
        <w:rPr>
          <w:rFonts w:ascii="Times New Roman" w:hAnsi="Times New Roman"/>
          <w:szCs w:val="28"/>
        </w:rPr>
        <w:t>擅自停业、歇业，严重影响到社会公共利益和安全的；</w:t>
      </w:r>
    </w:p>
    <w:p>
      <w:pPr>
        <w:ind w:firstLine="560"/>
        <w:rPr>
          <w:rFonts w:ascii="Times New Roman" w:hAnsi="Times New Roman"/>
          <w:szCs w:val="28"/>
        </w:rPr>
      </w:pPr>
      <w:r>
        <w:rPr>
          <w:rFonts w:ascii="Times New Roman" w:hAnsi="Times New Roman"/>
          <w:szCs w:val="28"/>
        </w:rPr>
        <w:t>法律、法规禁止的其他行为。</w:t>
      </w:r>
    </w:p>
    <w:p>
      <w:pPr>
        <w:ind w:firstLine="560"/>
        <w:rPr>
          <w:rFonts w:ascii="Times New Roman" w:hAnsi="Times New Roman"/>
          <w:szCs w:val="28"/>
        </w:rPr>
      </w:pPr>
      <w:r>
        <w:rPr>
          <w:rFonts w:ascii="Times New Roman" w:hAnsi="Times New Roman"/>
          <w:szCs w:val="28"/>
        </w:rPr>
        <w:t>如果政府方在行使监督权时发现项目公司存在上述任何一种情形，政府方认为有可能需要介入的，介入前按照 PPP项目合同的约定书面通知项目公司并给予其一定期限自行补救；如果项目公司在约定的期限内仍无法补救，政府方有权行使介入权。</w:t>
      </w:r>
    </w:p>
    <w:p>
      <w:pPr>
        <w:ind w:firstLine="560"/>
        <w:rPr>
          <w:rFonts w:ascii="Times New Roman" w:hAnsi="Times New Roman"/>
          <w:szCs w:val="28"/>
        </w:rPr>
      </w:pPr>
      <w:r>
        <w:rPr>
          <w:rFonts w:ascii="Times New Roman" w:hAnsi="Times New Roman"/>
          <w:szCs w:val="28"/>
        </w:rPr>
        <w:t>政府方在项目公司违约情形下介入的法律后果：</w:t>
      </w:r>
    </w:p>
    <w:p>
      <w:pPr>
        <w:ind w:firstLine="560"/>
        <w:rPr>
          <w:rFonts w:ascii="Times New Roman" w:hAnsi="Times New Roman"/>
          <w:szCs w:val="28"/>
        </w:rPr>
      </w:pPr>
      <w:r>
        <w:rPr>
          <w:rFonts w:ascii="Times New Roman" w:hAnsi="Times New Roman"/>
          <w:szCs w:val="28"/>
        </w:rPr>
        <w:t>政府方或政府方指定第三人将代项目公司履行其违约所涉及的部分义务；任何因政府方介入产生的额外费用均由项目公司承担，该部分费用可从保函中提取或者由项目公司直接支付；如果政府方的介入仍然无法补救项目公司的违约，政府方仍有权根据提前终止机制终止项目合同。</w:t>
      </w:r>
    </w:p>
    <w:p>
      <w:pPr>
        <w:ind w:firstLine="560"/>
        <w:rPr>
          <w:rFonts w:ascii="Times New Roman" w:hAnsi="Times New Roman"/>
          <w:szCs w:val="28"/>
        </w:rPr>
      </w:pPr>
      <w:r>
        <w:rPr>
          <w:rFonts w:hint="eastAsia" w:ascii="Times New Roman" w:hAnsi="Times New Roman"/>
          <w:szCs w:val="28"/>
        </w:rPr>
        <w:t>（3）</w:t>
      </w:r>
      <w:r>
        <w:rPr>
          <w:rFonts w:ascii="Times New Roman" w:hAnsi="Times New Roman"/>
          <w:szCs w:val="28"/>
        </w:rPr>
        <w:t>项目公司无法继续经营，申请解除特许经营PPP项目合同时的临时接管</w:t>
      </w:r>
    </w:p>
    <w:p>
      <w:pPr>
        <w:ind w:firstLine="560"/>
        <w:rPr>
          <w:rFonts w:ascii="Times New Roman" w:hAnsi="Times New Roman"/>
          <w:szCs w:val="28"/>
        </w:rPr>
      </w:pPr>
      <w:r>
        <w:rPr>
          <w:rFonts w:ascii="Times New Roman" w:hAnsi="Times New Roman"/>
          <w:szCs w:val="28"/>
        </w:rPr>
        <w:t>项目公司因不可抗力无法继续经营的，可以申请终止特许经营PPP项目合同。政府方临时接管该项目或者采取其他有效措施，保证本项目产品和服务的正常提供，并于接管之日起，按照规定确定新的特许经营者。</w:t>
      </w:r>
    </w:p>
    <w:p>
      <w:pPr>
        <w:pStyle w:val="4"/>
        <w:spacing w:before="160" w:after="160"/>
        <w:ind w:firstLine="562"/>
        <w:rPr>
          <w:rFonts w:ascii="Times New Roman" w:hAnsi="Times New Roman"/>
          <w:szCs w:val="28"/>
        </w:rPr>
      </w:pPr>
      <w:bookmarkStart w:id="153" w:name="_Toc468088647"/>
      <w:bookmarkStart w:id="154" w:name="_Toc453432032"/>
      <w:bookmarkStart w:id="155" w:name="_Toc15732"/>
      <w:bookmarkStart w:id="156" w:name="_Toc17773"/>
      <w:r>
        <w:rPr>
          <w:rFonts w:ascii="Times New Roman" w:hAnsi="Times New Roman"/>
          <w:szCs w:val="28"/>
        </w:rPr>
        <w:t>5.2.3 违约</w:t>
      </w:r>
      <w:bookmarkEnd w:id="153"/>
      <w:bookmarkEnd w:id="154"/>
      <w:bookmarkEnd w:id="155"/>
      <w:bookmarkEnd w:id="156"/>
    </w:p>
    <w:p>
      <w:pPr>
        <w:ind w:firstLine="560"/>
        <w:rPr>
          <w:rFonts w:ascii="Times New Roman" w:hAnsi="Times New Roman"/>
          <w:szCs w:val="28"/>
        </w:rPr>
      </w:pPr>
      <w:bookmarkStart w:id="157" w:name="_Toc15581"/>
      <w:r>
        <w:rPr>
          <w:rFonts w:hint="eastAsia" w:ascii="Times New Roman" w:hAnsi="Times New Roman"/>
          <w:szCs w:val="28"/>
        </w:rPr>
        <w:t>（1）</w:t>
      </w:r>
      <w:r>
        <w:rPr>
          <w:rFonts w:ascii="Times New Roman" w:hAnsi="Times New Roman"/>
          <w:szCs w:val="28"/>
        </w:rPr>
        <w:t>政府方违约</w:t>
      </w:r>
      <w:bookmarkEnd w:id="157"/>
    </w:p>
    <w:p>
      <w:pPr>
        <w:ind w:firstLine="560"/>
        <w:rPr>
          <w:rFonts w:ascii="Times New Roman" w:hAnsi="Times New Roman"/>
          <w:szCs w:val="28"/>
        </w:rPr>
      </w:pPr>
      <w:r>
        <w:rPr>
          <w:rFonts w:ascii="Times New Roman" w:hAnsi="Times New Roman"/>
          <w:szCs w:val="28"/>
        </w:rPr>
        <w:t>政府方违约事件包括但不限于：</w:t>
      </w:r>
    </w:p>
    <w:p>
      <w:pPr>
        <w:ind w:firstLine="560"/>
        <w:rPr>
          <w:rFonts w:ascii="Times New Roman" w:hAnsi="Times New Roman"/>
          <w:szCs w:val="28"/>
        </w:rPr>
      </w:pPr>
      <w:r>
        <w:rPr>
          <w:rFonts w:hint="eastAsia" w:ascii="Times New Roman" w:hAnsi="Times New Roman"/>
          <w:szCs w:val="28"/>
        </w:rPr>
        <w:t xml:space="preserve">① </w:t>
      </w:r>
      <w:r>
        <w:rPr>
          <w:rFonts w:ascii="Times New Roman" w:hAnsi="Times New Roman"/>
          <w:szCs w:val="28"/>
        </w:rPr>
        <w:t>未按PPP项目合同约定向项目公司付费或提供补助达到一定期限或金额的；</w:t>
      </w:r>
    </w:p>
    <w:p>
      <w:pPr>
        <w:ind w:firstLine="560"/>
        <w:rPr>
          <w:rFonts w:ascii="Times New Roman" w:hAnsi="Times New Roman"/>
          <w:szCs w:val="28"/>
        </w:rPr>
      </w:pPr>
      <w:r>
        <w:rPr>
          <w:rFonts w:hint="eastAsia" w:ascii="Times New Roman" w:hAnsi="Times New Roman"/>
          <w:szCs w:val="28"/>
        </w:rPr>
        <w:t xml:space="preserve">② </w:t>
      </w:r>
      <w:r>
        <w:rPr>
          <w:rFonts w:ascii="Times New Roman" w:hAnsi="Times New Roman"/>
          <w:szCs w:val="28"/>
        </w:rPr>
        <w:t>违反PPP项目合同约定转让合同项下义务；</w:t>
      </w:r>
    </w:p>
    <w:p>
      <w:pPr>
        <w:ind w:firstLine="560"/>
        <w:rPr>
          <w:rFonts w:ascii="Times New Roman" w:hAnsi="Times New Roman"/>
          <w:szCs w:val="28"/>
        </w:rPr>
      </w:pPr>
      <w:r>
        <w:rPr>
          <w:rFonts w:hint="eastAsia" w:ascii="Times New Roman" w:hAnsi="Times New Roman"/>
          <w:szCs w:val="28"/>
        </w:rPr>
        <w:t xml:space="preserve">③ </w:t>
      </w:r>
      <w:r>
        <w:rPr>
          <w:rFonts w:ascii="Times New Roman" w:hAnsi="Times New Roman"/>
          <w:szCs w:val="28"/>
        </w:rPr>
        <w:t>发生政府方可控的对项目设施或项目公司股份的征收或征用的；</w:t>
      </w:r>
    </w:p>
    <w:p>
      <w:pPr>
        <w:ind w:firstLine="560"/>
        <w:rPr>
          <w:rFonts w:ascii="Times New Roman" w:hAnsi="Times New Roman"/>
          <w:szCs w:val="28"/>
        </w:rPr>
      </w:pPr>
      <w:r>
        <w:rPr>
          <w:rFonts w:hint="eastAsia" w:ascii="Times New Roman" w:hAnsi="Times New Roman"/>
          <w:szCs w:val="28"/>
        </w:rPr>
        <w:t xml:space="preserve">④ </w:t>
      </w:r>
      <w:r>
        <w:rPr>
          <w:rFonts w:ascii="Times New Roman" w:hAnsi="Times New Roman"/>
          <w:szCs w:val="28"/>
        </w:rPr>
        <w:t>发生政府方可控的法律变更导致PPP项目合同无法继续履行的；</w:t>
      </w:r>
    </w:p>
    <w:p>
      <w:pPr>
        <w:ind w:firstLine="560"/>
        <w:rPr>
          <w:rFonts w:ascii="Times New Roman" w:hAnsi="Times New Roman"/>
          <w:szCs w:val="28"/>
        </w:rPr>
      </w:pPr>
      <w:r>
        <w:rPr>
          <w:rFonts w:hint="eastAsia" w:ascii="Times New Roman" w:hAnsi="Times New Roman"/>
          <w:szCs w:val="28"/>
        </w:rPr>
        <w:t xml:space="preserve">⑤ </w:t>
      </w:r>
      <w:r>
        <w:rPr>
          <w:rFonts w:ascii="Times New Roman" w:hAnsi="Times New Roman"/>
          <w:szCs w:val="28"/>
        </w:rPr>
        <w:t>其他违反PPP项目合同项下义务，并导致项目公司无法履行合同的情形。</w:t>
      </w:r>
    </w:p>
    <w:p>
      <w:pPr>
        <w:ind w:firstLine="560"/>
        <w:rPr>
          <w:rFonts w:ascii="Times New Roman" w:hAnsi="Times New Roman"/>
          <w:szCs w:val="28"/>
        </w:rPr>
      </w:pPr>
      <w:bookmarkStart w:id="158" w:name="_Toc7117"/>
      <w:r>
        <w:rPr>
          <w:rFonts w:hint="eastAsia" w:ascii="Times New Roman" w:hAnsi="Times New Roman"/>
          <w:szCs w:val="28"/>
        </w:rPr>
        <w:t>（2）</w:t>
      </w:r>
      <w:r>
        <w:rPr>
          <w:rFonts w:ascii="Times New Roman" w:hAnsi="Times New Roman"/>
          <w:szCs w:val="28"/>
        </w:rPr>
        <w:t>项目公司违约</w:t>
      </w:r>
      <w:bookmarkEnd w:id="158"/>
    </w:p>
    <w:p>
      <w:pPr>
        <w:ind w:firstLine="560"/>
        <w:rPr>
          <w:rFonts w:ascii="Times New Roman" w:hAnsi="Times New Roman"/>
          <w:szCs w:val="28"/>
        </w:rPr>
      </w:pPr>
      <w:r>
        <w:rPr>
          <w:rFonts w:ascii="Times New Roman" w:hAnsi="Times New Roman"/>
          <w:szCs w:val="28"/>
        </w:rPr>
        <w:t>项目公司违约事件包括但不限于：</w:t>
      </w:r>
    </w:p>
    <w:p>
      <w:pPr>
        <w:ind w:firstLine="560"/>
        <w:rPr>
          <w:rFonts w:ascii="Times New Roman" w:hAnsi="Times New Roman"/>
          <w:szCs w:val="28"/>
        </w:rPr>
      </w:pPr>
      <w:r>
        <w:rPr>
          <w:rFonts w:hint="eastAsia" w:ascii="Times New Roman" w:hAnsi="Times New Roman"/>
          <w:szCs w:val="28"/>
        </w:rPr>
        <w:t xml:space="preserve">① </w:t>
      </w:r>
      <w:r>
        <w:rPr>
          <w:rFonts w:ascii="Times New Roman" w:hAnsi="Times New Roman"/>
          <w:szCs w:val="28"/>
        </w:rPr>
        <w:t>项目公司破产或资不抵债的；</w:t>
      </w:r>
    </w:p>
    <w:p>
      <w:pPr>
        <w:ind w:firstLine="560"/>
        <w:rPr>
          <w:rFonts w:ascii="Times New Roman" w:hAnsi="Times New Roman"/>
          <w:szCs w:val="28"/>
        </w:rPr>
      </w:pPr>
      <w:r>
        <w:rPr>
          <w:rFonts w:hint="eastAsia" w:ascii="Times New Roman" w:hAnsi="Times New Roman"/>
          <w:szCs w:val="28"/>
        </w:rPr>
        <w:t xml:space="preserve">② </w:t>
      </w:r>
      <w:r>
        <w:rPr>
          <w:rFonts w:ascii="Times New Roman" w:hAnsi="Times New Roman"/>
          <w:szCs w:val="28"/>
        </w:rPr>
        <w:t>项目公司未在约定时间内实现约定的建设进度或项目完工、或开始运营，且逾期超过一定期限的；</w:t>
      </w:r>
    </w:p>
    <w:p>
      <w:pPr>
        <w:ind w:firstLine="560"/>
        <w:rPr>
          <w:rFonts w:ascii="Times New Roman" w:hAnsi="Times New Roman"/>
          <w:szCs w:val="28"/>
        </w:rPr>
      </w:pPr>
      <w:r>
        <w:rPr>
          <w:rFonts w:hint="eastAsia" w:ascii="Times New Roman" w:hAnsi="Times New Roman"/>
          <w:szCs w:val="28"/>
        </w:rPr>
        <w:t xml:space="preserve">③ </w:t>
      </w:r>
      <w:r>
        <w:rPr>
          <w:rFonts w:ascii="Times New Roman" w:hAnsi="Times New Roman"/>
          <w:szCs w:val="28"/>
        </w:rPr>
        <w:t>项目公司未按照规定的要求和标准提供产品或服务，情节严重或造成严重后果的；</w:t>
      </w:r>
    </w:p>
    <w:p>
      <w:pPr>
        <w:ind w:firstLine="560"/>
        <w:rPr>
          <w:rFonts w:ascii="Times New Roman" w:hAnsi="Times New Roman"/>
          <w:szCs w:val="28"/>
        </w:rPr>
      </w:pPr>
      <w:r>
        <w:rPr>
          <w:rFonts w:hint="eastAsia" w:ascii="Times New Roman" w:hAnsi="Times New Roman"/>
          <w:szCs w:val="28"/>
        </w:rPr>
        <w:t xml:space="preserve">④ </w:t>
      </w:r>
      <w:r>
        <w:rPr>
          <w:rFonts w:ascii="Times New Roman" w:hAnsi="Times New Roman"/>
          <w:szCs w:val="28"/>
        </w:rPr>
        <w:t>项目公司违反PPP项目合同约定的股权变更限制的；</w:t>
      </w:r>
    </w:p>
    <w:p>
      <w:pPr>
        <w:ind w:firstLine="560"/>
        <w:rPr>
          <w:rFonts w:ascii="Times New Roman" w:hAnsi="Times New Roman"/>
          <w:szCs w:val="28"/>
        </w:rPr>
      </w:pPr>
      <w:r>
        <w:rPr>
          <w:rFonts w:hint="eastAsia" w:ascii="Times New Roman" w:hAnsi="Times New Roman"/>
          <w:szCs w:val="28"/>
        </w:rPr>
        <w:t xml:space="preserve">⑤ </w:t>
      </w:r>
      <w:r>
        <w:rPr>
          <w:rFonts w:ascii="Times New Roman" w:hAnsi="Times New Roman"/>
          <w:szCs w:val="28"/>
        </w:rPr>
        <w:t>未按PPP项目合同约定为项目或相关资产购买保险的。</w:t>
      </w:r>
    </w:p>
    <w:p>
      <w:pPr>
        <w:pStyle w:val="4"/>
        <w:spacing w:before="160" w:after="160"/>
        <w:ind w:firstLine="562"/>
        <w:rPr>
          <w:rFonts w:ascii="Times New Roman" w:hAnsi="Times New Roman"/>
          <w:szCs w:val="28"/>
        </w:rPr>
      </w:pPr>
      <w:bookmarkStart w:id="159" w:name="_Toc468088648"/>
      <w:bookmarkStart w:id="160" w:name="_Toc7529"/>
      <w:bookmarkStart w:id="161" w:name="_Toc4935"/>
      <w:bookmarkStart w:id="162" w:name="_Toc453432033"/>
      <w:bookmarkStart w:id="163" w:name="_Toc23779"/>
      <w:bookmarkStart w:id="164" w:name="_Toc20574"/>
      <w:r>
        <w:rPr>
          <w:rFonts w:ascii="Times New Roman" w:hAnsi="Times New Roman"/>
          <w:szCs w:val="28"/>
        </w:rPr>
        <w:t>5.2.4 提前终止</w:t>
      </w:r>
      <w:bookmarkEnd w:id="159"/>
      <w:bookmarkEnd w:id="160"/>
      <w:bookmarkEnd w:id="161"/>
      <w:bookmarkEnd w:id="162"/>
    </w:p>
    <w:bookmarkEnd w:id="163"/>
    <w:bookmarkEnd w:id="164"/>
    <w:p>
      <w:pPr>
        <w:ind w:firstLine="560"/>
        <w:rPr>
          <w:rFonts w:ascii="Times New Roman" w:hAnsi="Times New Roman"/>
        </w:rPr>
      </w:pPr>
      <w:r>
        <w:rPr>
          <w:rFonts w:hint="eastAsia" w:ascii="Times New Roman" w:hAnsi="Times New Roman"/>
        </w:rPr>
        <w:t>（1）</w:t>
      </w:r>
      <w:r>
        <w:rPr>
          <w:rFonts w:ascii="Times New Roman" w:hAnsi="Times New Roman"/>
        </w:rPr>
        <w:t>提前终止的事由</w:t>
      </w:r>
    </w:p>
    <w:p>
      <w:pPr>
        <w:ind w:firstLine="560"/>
        <w:rPr>
          <w:rFonts w:ascii="Times New Roman" w:hAnsi="Times New Roman"/>
        </w:rPr>
      </w:pPr>
      <w:r>
        <w:rPr>
          <w:rFonts w:ascii="Times New Roman" w:hAnsi="Times New Roman"/>
        </w:rPr>
        <w:t>项目提前终止的事由包括：</w:t>
      </w:r>
    </w:p>
    <w:p>
      <w:pPr>
        <w:ind w:firstLine="560"/>
        <w:rPr>
          <w:rFonts w:ascii="Times New Roman" w:hAnsi="Times New Roman"/>
        </w:rPr>
      </w:pPr>
      <w:r>
        <w:rPr>
          <w:rFonts w:hint="eastAsia" w:ascii="Times New Roman" w:hAnsi="Times New Roman"/>
        </w:rPr>
        <w:t xml:space="preserve">① </w:t>
      </w:r>
      <w:r>
        <w:rPr>
          <w:rFonts w:ascii="Times New Roman" w:hAnsi="Times New Roman"/>
        </w:rPr>
        <w:t>政府方违约事件——发生政府方违约事件，政府方在一定期限内未能补救的，项目公司可根据PPP项目合同约定主张终止合同；</w:t>
      </w:r>
    </w:p>
    <w:p>
      <w:pPr>
        <w:ind w:firstLine="560"/>
        <w:rPr>
          <w:rFonts w:ascii="Times New Roman" w:hAnsi="Times New Roman"/>
        </w:rPr>
      </w:pPr>
      <w:r>
        <w:rPr>
          <w:rFonts w:hint="eastAsia" w:ascii="Times New Roman" w:hAnsi="Times New Roman"/>
        </w:rPr>
        <w:t xml:space="preserve">② </w:t>
      </w:r>
      <w:r>
        <w:rPr>
          <w:rFonts w:ascii="Times New Roman" w:hAnsi="Times New Roman"/>
        </w:rPr>
        <w:t>项目公司违约事件——发生项目公司违约事件，项目公司和融资方或融资方指定的第三方均未能在规定的期限内对该违约进行补救的，政府方可根据PPP项目合同约定主张终止合同；</w:t>
      </w:r>
    </w:p>
    <w:p>
      <w:pPr>
        <w:ind w:firstLine="560"/>
        <w:rPr>
          <w:rFonts w:ascii="Times New Roman" w:hAnsi="Times New Roman"/>
        </w:rPr>
      </w:pPr>
      <w:r>
        <w:rPr>
          <w:rFonts w:hint="eastAsia" w:ascii="Times New Roman" w:hAnsi="Times New Roman"/>
        </w:rPr>
        <w:t xml:space="preserve">③ </w:t>
      </w:r>
      <w:r>
        <w:rPr>
          <w:rFonts w:ascii="Times New Roman" w:hAnsi="Times New Roman"/>
        </w:rPr>
        <w:t>政府方选择终止——政府方在项目期限内任意时间可主张终止PPP项目合同；</w:t>
      </w:r>
    </w:p>
    <w:p>
      <w:pPr>
        <w:ind w:firstLine="560"/>
        <w:rPr>
          <w:rFonts w:ascii="Times New Roman" w:hAnsi="Times New Roman"/>
        </w:rPr>
      </w:pPr>
      <w:r>
        <w:rPr>
          <w:rFonts w:hint="eastAsia" w:ascii="Times New Roman" w:hAnsi="Times New Roman"/>
        </w:rPr>
        <w:t xml:space="preserve">④ </w:t>
      </w:r>
      <w:r>
        <w:rPr>
          <w:rFonts w:ascii="Times New Roman" w:hAnsi="Times New Roman"/>
        </w:rPr>
        <w:t>不可抗力事件——发生不可抗力事件持续或累计达到一定期限，任何一方可主张终止PPP项目合同。</w:t>
      </w:r>
    </w:p>
    <w:p>
      <w:pPr>
        <w:ind w:firstLine="560"/>
        <w:rPr>
          <w:rFonts w:ascii="Times New Roman" w:hAnsi="Times New Roman"/>
        </w:rPr>
      </w:pPr>
      <w:r>
        <w:rPr>
          <w:rFonts w:ascii="Times New Roman" w:hAnsi="Times New Roman"/>
        </w:rPr>
        <w:t>违约情形的补救期限，PPP项目合同谈判中约定。</w:t>
      </w:r>
    </w:p>
    <w:p>
      <w:pPr>
        <w:ind w:firstLine="560"/>
        <w:rPr>
          <w:rFonts w:ascii="Times New Roman" w:hAnsi="Times New Roman"/>
        </w:rPr>
      </w:pPr>
      <w:bookmarkStart w:id="165" w:name="_Toc9448"/>
      <w:bookmarkStart w:id="166" w:name="_Toc12337"/>
      <w:r>
        <w:rPr>
          <w:rFonts w:hint="eastAsia" w:ascii="Times New Roman" w:hAnsi="Times New Roman"/>
        </w:rPr>
        <w:t>（2）</w:t>
      </w:r>
      <w:r>
        <w:rPr>
          <w:rFonts w:ascii="Times New Roman" w:hAnsi="Times New Roman"/>
        </w:rPr>
        <w:t>政府方选择终止</w:t>
      </w:r>
      <w:bookmarkEnd w:id="165"/>
      <w:bookmarkEnd w:id="166"/>
    </w:p>
    <w:p>
      <w:pPr>
        <w:ind w:firstLine="560"/>
        <w:rPr>
          <w:rFonts w:ascii="Times New Roman" w:hAnsi="Times New Roman"/>
        </w:rPr>
      </w:pPr>
      <w:r>
        <w:rPr>
          <w:rFonts w:ascii="Times New Roman" w:hAnsi="Times New Roman"/>
        </w:rPr>
        <w:t>本项目关系社会公共利益，政府方享有在特定情形下单方面决定终止项目的权利，并给予项目公司足额的补偿。</w:t>
      </w:r>
    </w:p>
    <w:p>
      <w:pPr>
        <w:ind w:firstLine="560"/>
        <w:rPr>
          <w:rFonts w:ascii="Times New Roman" w:hAnsi="Times New Roman"/>
        </w:rPr>
      </w:pPr>
      <w:r>
        <w:rPr>
          <w:rFonts w:ascii="Times New Roman" w:hAnsi="Times New Roman"/>
        </w:rPr>
        <w:t>政府方单方面终止项目的特定情形由PPP项目合同谈判确定。</w:t>
      </w:r>
    </w:p>
    <w:p>
      <w:pPr>
        <w:pStyle w:val="4"/>
        <w:spacing w:before="160" w:after="160"/>
        <w:ind w:firstLine="562"/>
        <w:rPr>
          <w:rFonts w:ascii="Times New Roman" w:hAnsi="Times New Roman"/>
          <w:szCs w:val="28"/>
        </w:rPr>
      </w:pPr>
      <w:bookmarkStart w:id="167" w:name="_Toc468088649"/>
      <w:bookmarkStart w:id="168" w:name="_Toc975"/>
      <w:bookmarkStart w:id="169" w:name="_Toc1655"/>
      <w:bookmarkStart w:id="170" w:name="_Toc456447487"/>
      <w:r>
        <w:rPr>
          <w:rFonts w:ascii="Times New Roman" w:hAnsi="Times New Roman"/>
          <w:szCs w:val="28"/>
        </w:rPr>
        <w:t>5.2.5 终止后的处理机制</w:t>
      </w:r>
      <w:bookmarkEnd w:id="167"/>
      <w:bookmarkEnd w:id="168"/>
      <w:bookmarkEnd w:id="169"/>
      <w:bookmarkEnd w:id="170"/>
    </w:p>
    <w:p>
      <w:pPr>
        <w:ind w:firstLine="560"/>
        <w:rPr>
          <w:rFonts w:ascii="Times New Roman" w:hAnsi="Times New Roman"/>
        </w:rPr>
      </w:pPr>
      <w:r>
        <w:rPr>
          <w:rFonts w:ascii="Times New Roman" w:hAnsi="Times New Roman"/>
        </w:rPr>
        <w:t>若PPP合同提前终止，应严格按照《PPP项目合同指南（试行）》第十八节违约、提前终止及终止后处理机制的相关要求，由签约双方共同协商，按照“平等协商、风险分担”的原则，依据现行民商法、行政法，包括《民法通则》、《合同法》、《公司法》、《担保法》、《行政许可法》、《会计法》、《土地管理法》、《建筑法》等法律法规相关条款执行，具体要求在PPP合同条款中予以明确。</w:t>
      </w:r>
    </w:p>
    <w:p>
      <w:pPr>
        <w:ind w:firstLine="560"/>
        <w:rPr>
          <w:rFonts w:ascii="宋体" w:hAnsi="宋体" w:cs="宋体"/>
          <w:b/>
          <w:bCs/>
          <w:iCs/>
          <w:sz w:val="24"/>
        </w:rPr>
      </w:pPr>
      <w:r>
        <w:t>若本协议提前终止，则除非本协议另有约定，按以下方式支付补偿金。</w:t>
      </w:r>
    </w:p>
    <w:p>
      <w:pPr>
        <w:ind w:firstLine="0" w:firstLineChars="0"/>
        <w:jc w:val="center"/>
        <w:rPr>
          <w:rFonts w:ascii="宋体" w:hAnsi="宋体" w:cs="宋体"/>
          <w:b/>
          <w:bCs/>
          <w:color w:val="000000"/>
          <w:sz w:val="24"/>
        </w:rPr>
      </w:pPr>
      <w:r>
        <w:rPr>
          <w:rFonts w:hint="eastAsia" w:ascii="宋体" w:hAnsi="宋体" w:cs="宋体"/>
          <w:b/>
          <w:bCs/>
          <w:color w:val="000000"/>
          <w:sz w:val="24"/>
        </w:rPr>
        <w:t>提前终止补偿金额计算标准</w:t>
      </w:r>
    </w:p>
    <w:tbl>
      <w:tblPr>
        <w:tblStyle w:val="22"/>
        <w:tblW w:w="8209"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987"/>
        <w:gridCol w:w="430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4" w:type="dxa"/>
            <w:tcBorders>
              <w:top w:val="double" w:color="auto" w:sz="4" w:space="0"/>
            </w:tcBorders>
            <w:shd w:val="clear" w:color="auto" w:fill="FFF2CD"/>
            <w:vAlign w:val="center"/>
          </w:tcPr>
          <w:p>
            <w:pPr>
              <w:pStyle w:val="88"/>
            </w:pPr>
            <w:r>
              <w:t>项次</w:t>
            </w:r>
          </w:p>
        </w:tc>
        <w:tc>
          <w:tcPr>
            <w:tcW w:w="2987" w:type="dxa"/>
            <w:tcBorders>
              <w:top w:val="double" w:color="auto" w:sz="4" w:space="0"/>
            </w:tcBorders>
            <w:shd w:val="clear" w:color="auto" w:fill="FFF2CD"/>
            <w:vAlign w:val="center"/>
          </w:tcPr>
          <w:p>
            <w:pPr>
              <w:pStyle w:val="88"/>
            </w:pPr>
            <w:r>
              <w:t>提前终止情形</w:t>
            </w:r>
          </w:p>
        </w:tc>
        <w:tc>
          <w:tcPr>
            <w:tcW w:w="4308" w:type="dxa"/>
            <w:tcBorders>
              <w:top w:val="double" w:color="auto" w:sz="4" w:space="0"/>
            </w:tcBorders>
            <w:shd w:val="clear" w:color="auto" w:fill="FFF2CD"/>
            <w:vAlign w:val="center"/>
          </w:tcPr>
          <w:p>
            <w:pPr>
              <w:pStyle w:val="88"/>
            </w:pPr>
            <w:r>
              <w:t>终止补偿金</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jc w:val="center"/>
        </w:trPr>
        <w:tc>
          <w:tcPr>
            <w:tcW w:w="914" w:type="dxa"/>
            <w:vAlign w:val="center"/>
          </w:tcPr>
          <w:p>
            <w:pPr>
              <w:pStyle w:val="88"/>
            </w:pPr>
            <w:r>
              <w:t>一</w:t>
            </w:r>
          </w:p>
        </w:tc>
        <w:tc>
          <w:tcPr>
            <w:tcW w:w="2987" w:type="dxa"/>
            <w:vAlign w:val="center"/>
          </w:tcPr>
          <w:p>
            <w:pPr>
              <w:pStyle w:val="88"/>
            </w:pPr>
            <w:r>
              <w:t>政府方违约导致的终止</w:t>
            </w:r>
          </w:p>
        </w:tc>
        <w:tc>
          <w:tcPr>
            <w:tcW w:w="4308" w:type="dxa"/>
            <w:vAlign w:val="center"/>
          </w:tcPr>
          <w:p>
            <w:pPr>
              <w:pStyle w:val="88"/>
            </w:pPr>
            <w:r>
              <w:t>建设期终止：A1+B</w:t>
            </w:r>
            <w:r>
              <w:br w:type="textWrapping"/>
            </w:r>
            <w:r>
              <w:t>经营期终止：A2+B+E</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jc w:val="center"/>
        </w:trPr>
        <w:tc>
          <w:tcPr>
            <w:tcW w:w="914" w:type="dxa"/>
            <w:vAlign w:val="center"/>
          </w:tcPr>
          <w:p>
            <w:pPr>
              <w:pStyle w:val="88"/>
            </w:pPr>
            <w:r>
              <w:t>二</w:t>
            </w:r>
          </w:p>
        </w:tc>
        <w:tc>
          <w:tcPr>
            <w:tcW w:w="2987" w:type="dxa"/>
            <w:vAlign w:val="center"/>
          </w:tcPr>
          <w:p>
            <w:pPr>
              <w:pStyle w:val="88"/>
            </w:pPr>
            <w:r>
              <w:t>社会资本方违约导致的终止</w:t>
            </w:r>
          </w:p>
        </w:tc>
        <w:tc>
          <w:tcPr>
            <w:tcW w:w="4308" w:type="dxa"/>
            <w:vAlign w:val="center"/>
          </w:tcPr>
          <w:p>
            <w:pPr>
              <w:pStyle w:val="88"/>
            </w:pPr>
            <w:r>
              <w:t>建设期终止：A1-B</w:t>
            </w:r>
            <w:r>
              <w:br w:type="textWrapping"/>
            </w:r>
            <w:r>
              <w:t>经营期终止：A2-B+E</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7" w:hRule="exact"/>
          <w:jc w:val="center"/>
        </w:trPr>
        <w:tc>
          <w:tcPr>
            <w:tcW w:w="914" w:type="dxa"/>
            <w:vAlign w:val="center"/>
          </w:tcPr>
          <w:p>
            <w:pPr>
              <w:pStyle w:val="88"/>
            </w:pPr>
            <w:r>
              <w:t>三</w:t>
            </w:r>
          </w:p>
        </w:tc>
        <w:tc>
          <w:tcPr>
            <w:tcW w:w="2987" w:type="dxa"/>
            <w:vAlign w:val="center"/>
          </w:tcPr>
          <w:p>
            <w:pPr>
              <w:pStyle w:val="88"/>
            </w:pPr>
            <w:r>
              <w:t>法律变更或国家政策导致终止</w:t>
            </w:r>
          </w:p>
        </w:tc>
        <w:tc>
          <w:tcPr>
            <w:tcW w:w="4308" w:type="dxa"/>
            <w:vAlign w:val="center"/>
          </w:tcPr>
          <w:p>
            <w:pPr>
              <w:pStyle w:val="88"/>
            </w:pPr>
            <w:r>
              <w:t>建设期终止：A1+B</w:t>
            </w:r>
            <w:r>
              <w:br w:type="textWrapping"/>
            </w:r>
            <w:r>
              <w:t>经营期终止：A2+B+E</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7" w:hRule="exact"/>
          <w:jc w:val="center"/>
        </w:trPr>
        <w:tc>
          <w:tcPr>
            <w:tcW w:w="914" w:type="dxa"/>
            <w:tcBorders>
              <w:bottom w:val="double" w:color="auto" w:sz="4" w:space="0"/>
            </w:tcBorders>
            <w:vAlign w:val="center"/>
          </w:tcPr>
          <w:p>
            <w:pPr>
              <w:pStyle w:val="88"/>
            </w:pPr>
            <w:r>
              <w:t>四</w:t>
            </w:r>
          </w:p>
        </w:tc>
        <w:tc>
          <w:tcPr>
            <w:tcW w:w="2987" w:type="dxa"/>
            <w:tcBorders>
              <w:bottom w:val="double" w:color="auto" w:sz="4" w:space="0"/>
            </w:tcBorders>
            <w:vAlign w:val="center"/>
          </w:tcPr>
          <w:p>
            <w:pPr>
              <w:pStyle w:val="88"/>
            </w:pPr>
            <w:r>
              <w:t>不可抗力事件导致终止</w:t>
            </w:r>
          </w:p>
        </w:tc>
        <w:tc>
          <w:tcPr>
            <w:tcW w:w="4308" w:type="dxa"/>
            <w:tcBorders>
              <w:bottom w:val="double" w:color="auto" w:sz="4" w:space="0"/>
            </w:tcBorders>
            <w:vAlign w:val="center"/>
          </w:tcPr>
          <w:p>
            <w:pPr>
              <w:pStyle w:val="88"/>
            </w:pPr>
            <w:r>
              <w:t>建设期终止：A1-C-D</w:t>
            </w:r>
          </w:p>
          <w:p>
            <w:pPr>
              <w:pStyle w:val="88"/>
            </w:pPr>
            <w:r>
              <w:t>经营期终止：A2-C-D</w:t>
            </w:r>
          </w:p>
        </w:tc>
      </w:tr>
    </w:tbl>
    <w:p>
      <w:pPr>
        <w:ind w:firstLine="560"/>
        <w:rPr>
          <w:rFonts w:ascii="Times New Roman" w:hAnsi="Times New Roman"/>
          <w:szCs w:val="28"/>
        </w:rPr>
      </w:pPr>
      <w:r>
        <w:rPr>
          <w:rFonts w:ascii="Times New Roman" w:hAnsi="Times New Roman"/>
          <w:szCs w:val="28"/>
        </w:rPr>
        <w:t>其中：</w:t>
      </w:r>
    </w:p>
    <w:p>
      <w:pPr>
        <w:ind w:firstLine="560"/>
        <w:rPr>
          <w:rFonts w:ascii="Times New Roman" w:hAnsi="Times New Roman"/>
          <w:szCs w:val="28"/>
        </w:rPr>
      </w:pPr>
      <w:r>
        <w:rPr>
          <w:rFonts w:ascii="Times New Roman" w:hAnsi="Times New Roman"/>
          <w:szCs w:val="28"/>
        </w:rPr>
        <w:t>A1</w:t>
      </w:r>
      <w:r>
        <w:rPr>
          <w:rFonts w:hint="eastAsia" w:ascii="Times New Roman" w:hAnsi="Times New Roman"/>
          <w:szCs w:val="28"/>
        </w:rPr>
        <w:t>：</w:t>
      </w:r>
      <w:r>
        <w:rPr>
          <w:rFonts w:ascii="Times New Roman" w:hAnsi="Times New Roman"/>
          <w:szCs w:val="28"/>
        </w:rPr>
        <w:t>项目公司尚未收回投资额（以政府审计确认的金额为准）；</w:t>
      </w:r>
    </w:p>
    <w:p>
      <w:pPr>
        <w:ind w:firstLine="560"/>
        <w:rPr>
          <w:rFonts w:ascii="Times New Roman" w:hAnsi="Times New Roman"/>
          <w:szCs w:val="28"/>
        </w:rPr>
      </w:pPr>
      <w:r>
        <w:rPr>
          <w:rFonts w:ascii="Times New Roman" w:hAnsi="Times New Roman"/>
          <w:szCs w:val="28"/>
        </w:rPr>
        <w:t>A2</w:t>
      </w:r>
      <w:r>
        <w:rPr>
          <w:rFonts w:hint="eastAsia" w:ascii="Times New Roman" w:hAnsi="Times New Roman"/>
          <w:szCs w:val="28"/>
        </w:rPr>
        <w:t>：A2＝未付融资本金+未付社会资本资本金投资</w:t>
      </w:r>
    </w:p>
    <w:p>
      <w:pPr>
        <w:ind w:firstLine="1120" w:firstLineChars="400"/>
        <w:rPr>
          <w:rFonts w:ascii="Times New Roman" w:hAnsi="Times New Roman"/>
          <w:szCs w:val="28"/>
        </w:rPr>
      </w:pPr>
      <w:r>
        <w:rPr>
          <w:rFonts w:hint="eastAsia" w:ascii="Times New Roman" w:hAnsi="Times New Roman"/>
          <w:szCs w:val="28"/>
        </w:rPr>
        <w:t>未付融资本金＝建设期贷款本息-已付融资本金</w:t>
      </w:r>
    </w:p>
    <w:p>
      <w:pPr>
        <w:ind w:firstLine="1120" w:firstLineChars="400"/>
        <w:rPr>
          <w:rFonts w:ascii="Times New Roman" w:hAnsi="Times New Roman"/>
          <w:szCs w:val="28"/>
        </w:rPr>
      </w:pPr>
      <w:r>
        <w:rPr>
          <w:rFonts w:hint="eastAsia" w:ascii="Times New Roman" w:hAnsi="Times New Roman"/>
          <w:szCs w:val="28"/>
        </w:rPr>
        <w:t>未付社会资本资本金投资＝（社会资本资本金投资－已付社会资本资本金投资本金）×（1+i）</w:t>
      </w:r>
      <w:r>
        <w:rPr>
          <w:rFonts w:hint="eastAsia" w:ascii="Times New Roman" w:hAnsi="Times New Roman"/>
          <w:szCs w:val="28"/>
          <w:vertAlign w:val="superscript"/>
        </w:rPr>
        <w:t>n</w:t>
      </w:r>
    </w:p>
    <w:p>
      <w:pPr>
        <w:ind w:firstLine="1120" w:firstLineChars="400"/>
        <w:rPr>
          <w:rFonts w:ascii="Times New Roman" w:hAnsi="Times New Roman"/>
          <w:szCs w:val="28"/>
        </w:rPr>
      </w:pPr>
      <w:r>
        <w:rPr>
          <w:rFonts w:hint="eastAsia" w:ascii="Times New Roman" w:hAnsi="Times New Roman"/>
          <w:szCs w:val="28"/>
        </w:rPr>
        <w:t>i：合同约定社会资本资本金投资年度折现率</w:t>
      </w:r>
    </w:p>
    <w:p>
      <w:pPr>
        <w:ind w:firstLine="1120" w:firstLineChars="400"/>
        <w:rPr>
          <w:rFonts w:ascii="Times New Roman" w:hAnsi="Times New Roman"/>
          <w:szCs w:val="28"/>
        </w:rPr>
      </w:pPr>
      <w:r>
        <w:rPr>
          <w:rFonts w:hint="eastAsia" w:ascii="Times New Roman" w:hAnsi="Times New Roman"/>
          <w:szCs w:val="28"/>
        </w:rPr>
        <w:t>n：项目已完成运营期</w:t>
      </w:r>
    </w:p>
    <w:p>
      <w:pPr>
        <w:ind w:firstLine="560"/>
        <w:rPr>
          <w:rFonts w:ascii="Times New Roman" w:hAnsi="Times New Roman"/>
          <w:szCs w:val="28"/>
        </w:rPr>
      </w:pPr>
      <w:r>
        <w:rPr>
          <w:rFonts w:ascii="Times New Roman" w:hAnsi="Times New Roman"/>
          <w:szCs w:val="28"/>
        </w:rPr>
        <w:t>B</w:t>
      </w:r>
      <w:r>
        <w:rPr>
          <w:rFonts w:hint="eastAsia" w:ascii="Times New Roman" w:hAnsi="Times New Roman"/>
          <w:szCs w:val="28"/>
        </w:rPr>
        <w:t>：</w:t>
      </w:r>
      <w:r>
        <w:rPr>
          <w:rFonts w:ascii="Times New Roman" w:hAnsi="Times New Roman"/>
          <w:szCs w:val="28"/>
        </w:rPr>
        <w:t>违约的情形下违约方应支付的违约金，按PPP项目合同约定。</w:t>
      </w:r>
    </w:p>
    <w:p>
      <w:pPr>
        <w:ind w:firstLine="560"/>
        <w:rPr>
          <w:rFonts w:ascii="Times New Roman" w:hAnsi="Times New Roman"/>
          <w:szCs w:val="28"/>
        </w:rPr>
      </w:pPr>
      <w:r>
        <w:rPr>
          <w:rFonts w:ascii="Times New Roman" w:hAnsi="Times New Roman"/>
          <w:szCs w:val="28"/>
        </w:rPr>
        <w:t>C</w:t>
      </w:r>
      <w:r>
        <w:rPr>
          <w:rFonts w:hint="eastAsia" w:ascii="Times New Roman" w:hAnsi="Times New Roman"/>
          <w:szCs w:val="28"/>
        </w:rPr>
        <w:t>：</w:t>
      </w:r>
      <w:r>
        <w:rPr>
          <w:rFonts w:ascii="Times New Roman" w:hAnsi="Times New Roman"/>
          <w:szCs w:val="28"/>
        </w:rPr>
        <w:t>发生不可抗力情形时，项目公司按PPP项目合同约定投保情形下实际获得的保险赔款。</w:t>
      </w:r>
    </w:p>
    <w:p>
      <w:pPr>
        <w:ind w:firstLine="560"/>
        <w:rPr>
          <w:rFonts w:ascii="Times New Roman" w:hAnsi="Times New Roman"/>
          <w:szCs w:val="28"/>
        </w:rPr>
      </w:pPr>
      <w:r>
        <w:rPr>
          <w:rFonts w:ascii="Times New Roman" w:hAnsi="Times New Roman"/>
          <w:szCs w:val="28"/>
        </w:rPr>
        <w:t>D</w:t>
      </w:r>
      <w:r>
        <w:rPr>
          <w:rFonts w:hint="eastAsia" w:ascii="Times New Roman" w:hAnsi="Times New Roman"/>
          <w:szCs w:val="28"/>
        </w:rPr>
        <w:t>：</w:t>
      </w:r>
      <w:r>
        <w:rPr>
          <w:rFonts w:ascii="Times New Roman" w:hAnsi="Times New Roman"/>
          <w:szCs w:val="28"/>
        </w:rPr>
        <w:t>发生不可抗力情形时，因项目公司投保不足，导致所获保险赔款无法使项目设施恢复到出险前的正常状态和价值的恢复性建设费用缺额部分。</w:t>
      </w:r>
    </w:p>
    <w:p>
      <w:pPr>
        <w:ind w:firstLine="560"/>
        <w:rPr>
          <w:rFonts w:ascii="Times New Roman" w:hAnsi="Times New Roman"/>
          <w:szCs w:val="28"/>
        </w:rPr>
      </w:pPr>
      <w:r>
        <w:rPr>
          <w:rFonts w:ascii="Times New Roman" w:hAnsi="Times New Roman"/>
          <w:szCs w:val="28"/>
        </w:rPr>
        <w:t>E</w:t>
      </w:r>
      <w:r>
        <w:rPr>
          <w:rFonts w:hint="eastAsia" w:ascii="Times New Roman" w:hAnsi="Times New Roman"/>
          <w:szCs w:val="28"/>
        </w:rPr>
        <w:t>：</w:t>
      </w:r>
      <w:r>
        <w:rPr>
          <w:rFonts w:ascii="Times New Roman" w:hAnsi="Times New Roman"/>
          <w:szCs w:val="28"/>
        </w:rPr>
        <w:t>终止后项目公司应向政府方或其他机构移交运营维护所需的零部件、备品备件等的评估值。</w:t>
      </w:r>
    </w:p>
    <w:p>
      <w:pPr>
        <w:ind w:firstLine="560"/>
        <w:rPr>
          <w:rFonts w:ascii="Times New Roman" w:hAnsi="Times New Roman"/>
          <w:szCs w:val="28"/>
        </w:rPr>
      </w:pPr>
      <w:r>
        <w:rPr>
          <w:rFonts w:ascii="Times New Roman" w:hAnsi="Times New Roman"/>
          <w:szCs w:val="28"/>
        </w:rPr>
        <w:t>特别说明：</w:t>
      </w:r>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项目公司违约导致PPP项目合同提前终止，若按照对应公式计算终止补偿金值为负数，则项目公司应向政府方支付本条所述负数的绝对值作为补偿金。</w:t>
      </w:r>
    </w:p>
    <w:p>
      <w:pPr>
        <w:ind w:firstLine="560"/>
        <w:rPr>
          <w:rFonts w:ascii="Times New Roman" w:hAnsi="Times New Roman"/>
          <w:szCs w:val="28"/>
        </w:rPr>
      </w:pPr>
      <w:r>
        <w:rPr>
          <w:rFonts w:hint="eastAsia" w:ascii="Times New Roman" w:hAnsi="Times New Roman"/>
          <w:szCs w:val="28"/>
        </w:rPr>
        <w:t>（2）社会资本获得政府方补偿后，须优先用于清偿项目公司负债</w:t>
      </w:r>
      <w:r>
        <w:rPr>
          <w:rFonts w:ascii="Times New Roman" w:hAnsi="Times New Roman"/>
          <w:szCs w:val="28"/>
        </w:rPr>
        <w:t>。</w:t>
      </w:r>
    </w:p>
    <w:p>
      <w:pPr>
        <w:ind w:firstLine="560"/>
        <w:rPr>
          <w:rFonts w:ascii="Times New Roman" w:hAnsi="Times New Roman"/>
          <w:szCs w:val="28"/>
        </w:rPr>
      </w:pPr>
      <w:r>
        <w:rPr>
          <w:rFonts w:hint="eastAsia" w:ascii="Times New Roman" w:hAnsi="Times New Roman"/>
          <w:szCs w:val="28"/>
        </w:rPr>
        <w:t>（3）</w:t>
      </w:r>
      <w:r>
        <w:rPr>
          <w:rFonts w:ascii="Times New Roman" w:hAnsi="Times New Roman"/>
          <w:szCs w:val="28"/>
        </w:rPr>
        <w:t>若因项目公司违约导致提前终止并按以上公式计付提前终止补偿金，则政府方不应再就同一违约事项提取履约保函。</w:t>
      </w:r>
    </w:p>
    <w:p>
      <w:pPr>
        <w:ind w:firstLine="560"/>
        <w:rPr>
          <w:rFonts w:ascii="Times New Roman" w:hAnsi="Times New Roman"/>
          <w:szCs w:val="28"/>
        </w:rPr>
      </w:pPr>
      <w:r>
        <w:rPr>
          <w:rFonts w:hint="eastAsia" w:ascii="Times New Roman" w:hAnsi="Times New Roman"/>
          <w:szCs w:val="28"/>
        </w:rPr>
        <w:t>（4）</w:t>
      </w:r>
      <w:r>
        <w:rPr>
          <w:rFonts w:ascii="Times New Roman" w:hAnsi="Times New Roman"/>
          <w:szCs w:val="28"/>
        </w:rPr>
        <w:t>PPP项目合同提前终止导致项目公司清算，遵照有关规定执行。股东协议另有规定的，从其规定。</w:t>
      </w:r>
    </w:p>
    <w:p>
      <w:pPr>
        <w:pStyle w:val="4"/>
        <w:spacing w:before="160" w:after="160"/>
        <w:ind w:firstLine="562"/>
        <w:rPr>
          <w:rFonts w:ascii="Times New Roman" w:hAnsi="Times New Roman"/>
          <w:szCs w:val="28"/>
        </w:rPr>
      </w:pPr>
      <w:bookmarkStart w:id="171" w:name="_Toc20038"/>
      <w:bookmarkStart w:id="172" w:name="_Toc5050"/>
      <w:bookmarkStart w:id="173" w:name="_Toc468088650"/>
      <w:bookmarkStart w:id="174" w:name="_Toc21416"/>
      <w:bookmarkStart w:id="175" w:name="_Toc7446"/>
      <w:r>
        <w:rPr>
          <w:rFonts w:ascii="Times New Roman" w:hAnsi="Times New Roman"/>
          <w:szCs w:val="28"/>
        </w:rPr>
        <w:t>5.2.6 补偿支付</w:t>
      </w:r>
      <w:bookmarkEnd w:id="171"/>
      <w:bookmarkEnd w:id="172"/>
      <w:bookmarkEnd w:id="173"/>
      <w:bookmarkEnd w:id="174"/>
      <w:bookmarkEnd w:id="175"/>
    </w:p>
    <w:p>
      <w:pPr>
        <w:ind w:firstLine="560"/>
      </w:pPr>
      <w:r>
        <w:rPr>
          <w:rFonts w:ascii="Times New Roman" w:hAnsi="Times New Roman"/>
          <w:szCs w:val="28"/>
        </w:rPr>
        <w:t>提前终止补偿金额采用分期付款的方式支付项目公司，付款周期不超过五年，延期支付的利息参照中国人民银行同期贷款（五年期）基准利率计算。</w:t>
      </w:r>
    </w:p>
    <w:p>
      <w:pPr>
        <w:pStyle w:val="3"/>
        <w:spacing w:before="200" w:after="200" w:line="560" w:lineRule="exact"/>
        <w:ind w:firstLine="562"/>
        <w:jc w:val="left"/>
        <w:rPr>
          <w:rFonts w:ascii="Times New Roman" w:hAnsi="Times New Roman"/>
          <w:szCs w:val="28"/>
        </w:rPr>
      </w:pPr>
      <w:bookmarkStart w:id="176" w:name="_Toc468088651"/>
      <w:bookmarkStart w:id="177" w:name="_Toc10436"/>
      <w:bookmarkStart w:id="178" w:name="_Toc453432034"/>
      <w:bookmarkStart w:id="179" w:name="_Toc8287"/>
      <w:r>
        <w:rPr>
          <w:rFonts w:ascii="Times New Roman" w:hAnsi="Times New Roman"/>
          <w:szCs w:val="28"/>
        </w:rPr>
        <w:t>5.3 合同变更</w:t>
      </w:r>
      <w:bookmarkEnd w:id="176"/>
      <w:bookmarkEnd w:id="177"/>
      <w:bookmarkEnd w:id="178"/>
      <w:bookmarkEnd w:id="179"/>
    </w:p>
    <w:p>
      <w:pPr>
        <w:ind w:firstLine="560"/>
        <w:rPr>
          <w:rFonts w:ascii="Times New Roman" w:hAnsi="Times New Roman"/>
          <w:szCs w:val="28"/>
        </w:rPr>
      </w:pPr>
      <w:r>
        <w:rPr>
          <w:rFonts w:ascii="Times New Roman" w:hAnsi="Times New Roman"/>
          <w:szCs w:val="28"/>
        </w:rPr>
        <w:t>社会投资人承诺其自项目公司成立之日起，至项目投入正式运行之日后满5年之日止，不得向其他方转让其持有的项目公司的全部或部分股权，除非转让为法律所要求，由司法机关裁定和执行（如上述行为的起因涉及社会投资人过错，则认定为项目公司违约，政府方有权视情形提取运营维护保函项下的违约金额，直至提前终止PPP项目合同）。</w:t>
      </w:r>
    </w:p>
    <w:p>
      <w:pPr>
        <w:ind w:firstLine="560"/>
        <w:rPr>
          <w:rFonts w:ascii="Times New Roman" w:hAnsi="Times New Roman"/>
          <w:szCs w:val="28"/>
        </w:rPr>
      </w:pPr>
      <w:r>
        <w:rPr>
          <w:rFonts w:ascii="Times New Roman" w:hAnsi="Times New Roman"/>
          <w:szCs w:val="28"/>
        </w:rPr>
        <w:t>自项目投入正式运行满 5 年之后，经政府方事先书面同意，则社会投资人可以转让其在项目公司中的全部或部分股权，但受让方应满足PPP项目合同约定的技术能力、财务信用、运营经验等基本条件，并已经以书面形式明示，在其成为项目公司股东后，督促并确保项目公司继续承担PPP项目合同项下的义务。</w:t>
      </w:r>
    </w:p>
    <w:p>
      <w:pPr>
        <w:ind w:firstLine="560"/>
        <w:rPr>
          <w:rFonts w:ascii="Times New Roman" w:hAnsi="Times New Roman"/>
          <w:szCs w:val="28"/>
        </w:rPr>
      </w:pPr>
      <w:r>
        <w:rPr>
          <w:rFonts w:ascii="Times New Roman" w:hAnsi="Times New Roman"/>
          <w:szCs w:val="28"/>
        </w:rPr>
        <w:t>尽管有上述约定，社会投资人可以自由将其持有的项目公司的股权全部或者部分转让给其关联方，但社会投资人的关联方应具备PPP项目合同中对转让方的资格条件及要求，且承担PPP项目合同项下的全部权利及义务，否则政府方有权予以否决。在此前提下，政府方同意对社会投资人转让给其关联方的股权放弃行使优先购买权并同意协助办理有关股权转让所有的手续。受让方需同意受PPP项目合同（含全部附件）的约束。</w:t>
      </w:r>
    </w:p>
    <w:p>
      <w:pPr>
        <w:pStyle w:val="3"/>
        <w:spacing w:before="200" w:after="200" w:line="560" w:lineRule="exact"/>
        <w:ind w:firstLine="562"/>
        <w:jc w:val="left"/>
        <w:rPr>
          <w:rFonts w:ascii="Times New Roman" w:hAnsi="Times New Roman"/>
          <w:szCs w:val="28"/>
        </w:rPr>
      </w:pPr>
      <w:bookmarkStart w:id="180" w:name="_Toc17557"/>
      <w:bookmarkStart w:id="181" w:name="_Toc12515"/>
      <w:bookmarkStart w:id="182" w:name="_Toc468088652"/>
      <w:r>
        <w:rPr>
          <w:rFonts w:ascii="Times New Roman" w:hAnsi="Times New Roman"/>
          <w:szCs w:val="28"/>
        </w:rPr>
        <w:t>5.4 非竞争性承诺</w:t>
      </w:r>
      <w:bookmarkEnd w:id="180"/>
      <w:bookmarkEnd w:id="181"/>
      <w:bookmarkEnd w:id="182"/>
    </w:p>
    <w:p>
      <w:pPr>
        <w:ind w:firstLine="560"/>
        <w:rPr>
          <w:rFonts w:ascii="Times New Roman" w:hAnsi="Times New Roman"/>
          <w:szCs w:val="28"/>
        </w:rPr>
      </w:pPr>
      <w:r>
        <w:rPr>
          <w:rFonts w:ascii="Times New Roman" w:hAnsi="Times New Roman"/>
          <w:szCs w:val="28"/>
        </w:rPr>
        <w:t>项目特许经营期内，区人民政府不再审批建造与本项目类似或相同且</w:t>
      </w:r>
      <w:r>
        <w:rPr>
          <w:rFonts w:ascii="Times New Roman" w:hAnsi="Times New Roman"/>
          <w:color w:val="000000" w:themeColor="text1"/>
          <w:szCs w:val="28"/>
        </w:rPr>
        <w:t>造</w:t>
      </w:r>
      <w:r>
        <w:rPr>
          <w:rFonts w:hint="eastAsia" w:ascii="Times New Roman" w:hAnsi="Times New Roman"/>
          <w:color w:val="000000" w:themeColor="text1"/>
          <w:szCs w:val="28"/>
        </w:rPr>
        <w:t>成</w:t>
      </w:r>
      <w:r>
        <w:rPr>
          <w:rFonts w:ascii="Times New Roman" w:hAnsi="Times New Roman"/>
          <w:color w:val="000000" w:themeColor="text1"/>
          <w:szCs w:val="28"/>
        </w:rPr>
        <w:t>粮</w:t>
      </w:r>
      <w:r>
        <w:rPr>
          <w:rFonts w:ascii="Times New Roman" w:hAnsi="Times New Roman"/>
          <w:szCs w:val="28"/>
        </w:rPr>
        <w:t>食储备量、粮食加工量等实质性分流的项目，但本项目已达到设计运行能力或出现长期超负荷运转除外。</w:t>
      </w:r>
    </w:p>
    <w:p>
      <w:pPr>
        <w:pStyle w:val="3"/>
        <w:spacing w:before="200" w:after="200" w:line="560" w:lineRule="exact"/>
        <w:ind w:firstLine="562"/>
        <w:jc w:val="left"/>
        <w:rPr>
          <w:rFonts w:ascii="Times New Roman" w:hAnsi="Times New Roman"/>
          <w:szCs w:val="28"/>
        </w:rPr>
      </w:pPr>
      <w:bookmarkStart w:id="183" w:name="_Toc468088653"/>
      <w:bookmarkStart w:id="184" w:name="_Toc20896"/>
      <w:bookmarkStart w:id="185" w:name="_Toc19713"/>
      <w:r>
        <w:rPr>
          <w:rFonts w:ascii="Times New Roman" w:hAnsi="Times New Roman"/>
          <w:szCs w:val="28"/>
        </w:rPr>
        <w:t>5.5 运营期满后的资产处置</w:t>
      </w:r>
      <w:bookmarkEnd w:id="183"/>
      <w:bookmarkEnd w:id="184"/>
      <w:bookmarkEnd w:id="185"/>
    </w:p>
    <w:p>
      <w:pPr>
        <w:ind w:firstLine="560"/>
        <w:rPr>
          <w:rFonts w:ascii="Times New Roman" w:hAnsi="Times New Roman"/>
          <w:szCs w:val="28"/>
        </w:rPr>
      </w:pPr>
      <w:bookmarkStart w:id="186" w:name="_Toc26524"/>
      <w:bookmarkStart w:id="187" w:name="_Toc32100"/>
      <w:r>
        <w:rPr>
          <w:rFonts w:ascii="Times New Roman" w:hAnsi="Times New Roman"/>
          <w:szCs w:val="28"/>
        </w:rPr>
        <w:t>特许经营期满，项目公司应无偿把本项目在正常可运营状态下移交给政府或其指定的机构，</w:t>
      </w:r>
      <w:bookmarkEnd w:id="186"/>
      <w:bookmarkEnd w:id="187"/>
      <w:r>
        <w:rPr>
          <w:rFonts w:ascii="Times New Roman" w:hAnsi="Times New Roman"/>
          <w:szCs w:val="28"/>
        </w:rPr>
        <w:t>移交范围和标准满足下列规定：</w:t>
      </w:r>
    </w:p>
    <w:p>
      <w:pPr>
        <w:pStyle w:val="4"/>
        <w:spacing w:before="160" w:after="160"/>
        <w:ind w:firstLine="562"/>
        <w:rPr>
          <w:rFonts w:ascii="Times New Roman" w:hAnsi="Times New Roman"/>
          <w:szCs w:val="28"/>
        </w:rPr>
      </w:pPr>
      <w:bookmarkStart w:id="188" w:name="_Toc468088654"/>
      <w:bookmarkStart w:id="189" w:name="_Toc31912"/>
      <w:bookmarkStart w:id="190" w:name="_Toc8677"/>
      <w:bookmarkStart w:id="191" w:name="_Toc453432036"/>
      <w:r>
        <w:rPr>
          <w:rFonts w:ascii="Times New Roman" w:hAnsi="Times New Roman"/>
          <w:szCs w:val="28"/>
        </w:rPr>
        <w:t>5.5.1 移交范围及要求</w:t>
      </w:r>
      <w:bookmarkEnd w:id="188"/>
      <w:bookmarkEnd w:id="189"/>
      <w:bookmarkEnd w:id="190"/>
      <w:bookmarkEnd w:id="191"/>
    </w:p>
    <w:p>
      <w:pPr>
        <w:ind w:firstLine="560"/>
        <w:rPr>
          <w:color w:val="000000" w:themeColor="text1"/>
        </w:rPr>
      </w:pPr>
      <w:r>
        <w:rPr>
          <w:rFonts w:hint="eastAsia" w:ascii="Times New Roman" w:hAnsi="Times New Roman"/>
          <w:color w:val="000000" w:themeColor="text1"/>
          <w:szCs w:val="28"/>
        </w:rPr>
        <w:t>（1）合作期满后，社会资本将所持有的股权无偿移交给呈贡军粮供应站。</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项目公司的全部固定资产、权利，并确保固定资产、权利符合相关技术规范和设计功能标准要求。</w:t>
      </w:r>
    </w:p>
    <w:p>
      <w:pPr>
        <w:ind w:firstLine="560"/>
        <w:rPr>
          <w:rFonts w:ascii="Times New Roman" w:hAnsi="Times New Roman"/>
          <w:szCs w:val="28"/>
        </w:rPr>
      </w:pPr>
      <w:r>
        <w:rPr>
          <w:rFonts w:hint="eastAsia" w:ascii="Times New Roman" w:hAnsi="Times New Roman"/>
          <w:szCs w:val="28"/>
        </w:rPr>
        <w:t>（3）</w:t>
      </w:r>
      <w:r>
        <w:rPr>
          <w:rFonts w:ascii="Times New Roman" w:hAnsi="Times New Roman"/>
          <w:szCs w:val="28"/>
        </w:rPr>
        <w:t>设施正常运转所必须的零部件、备品备件以及其它动产。</w:t>
      </w:r>
    </w:p>
    <w:p>
      <w:pPr>
        <w:ind w:firstLine="560"/>
        <w:rPr>
          <w:rFonts w:ascii="Times New Roman" w:hAnsi="Times New Roman"/>
          <w:szCs w:val="28"/>
        </w:rPr>
      </w:pPr>
      <w:r>
        <w:rPr>
          <w:rFonts w:hint="eastAsia" w:ascii="Times New Roman" w:hAnsi="Times New Roman"/>
          <w:szCs w:val="28"/>
        </w:rPr>
        <w:t>（4）</w:t>
      </w:r>
      <w:r>
        <w:rPr>
          <w:rFonts w:ascii="Times New Roman" w:hAnsi="Times New Roman"/>
          <w:szCs w:val="28"/>
        </w:rPr>
        <w:t>运营和维护所要求的所有技术和技术规程等无形资产。</w:t>
      </w:r>
    </w:p>
    <w:p>
      <w:pPr>
        <w:ind w:firstLine="560"/>
        <w:rPr>
          <w:rFonts w:ascii="Times New Roman" w:hAnsi="Times New Roman"/>
          <w:szCs w:val="28"/>
        </w:rPr>
      </w:pPr>
      <w:r>
        <w:rPr>
          <w:rFonts w:hint="eastAsia" w:ascii="Times New Roman" w:hAnsi="Times New Roman"/>
          <w:szCs w:val="28"/>
        </w:rPr>
        <w:t>（5）</w:t>
      </w:r>
      <w:r>
        <w:rPr>
          <w:rFonts w:ascii="Times New Roman" w:hAnsi="Times New Roman"/>
          <w:szCs w:val="28"/>
        </w:rPr>
        <w:t>在用的各类管理章程和运营手册包括专有技术、生产档案、技术档案、文秘档案、图书资料、设计图纸、文件和其它资料，以使本项目设施能平稳地正常地持续运营。</w:t>
      </w:r>
    </w:p>
    <w:p>
      <w:pPr>
        <w:ind w:firstLine="560"/>
        <w:rPr>
          <w:rFonts w:ascii="Times New Roman" w:hAnsi="Times New Roman"/>
          <w:szCs w:val="28"/>
        </w:rPr>
      </w:pPr>
      <w:r>
        <w:rPr>
          <w:rFonts w:hint="eastAsia" w:ascii="Times New Roman" w:hAnsi="Times New Roman"/>
          <w:szCs w:val="28"/>
        </w:rPr>
        <w:t>（6）</w:t>
      </w:r>
      <w:r>
        <w:rPr>
          <w:rFonts w:ascii="Times New Roman" w:hAnsi="Times New Roman"/>
          <w:szCs w:val="28"/>
        </w:rPr>
        <w:t>土地使用权及与本项目设施场地有关的其它权利。</w:t>
      </w:r>
    </w:p>
    <w:p>
      <w:pPr>
        <w:ind w:firstLine="560"/>
        <w:rPr>
          <w:rFonts w:ascii="Times New Roman" w:hAnsi="Times New Roman"/>
          <w:szCs w:val="28"/>
        </w:rPr>
      </w:pPr>
      <w:r>
        <w:rPr>
          <w:rFonts w:hint="eastAsia" w:ascii="Times New Roman" w:hAnsi="Times New Roman"/>
          <w:szCs w:val="28"/>
        </w:rPr>
        <w:t>（7）</w:t>
      </w:r>
      <w:r>
        <w:rPr>
          <w:rFonts w:ascii="Times New Roman" w:hAnsi="Times New Roman"/>
          <w:szCs w:val="28"/>
        </w:rPr>
        <w:t>上述资产在向政府指定机构移交时应不存在任何留置权、债权、抵押、担保物权或任何种类的其它请求权。</w:t>
      </w:r>
    </w:p>
    <w:p>
      <w:pPr>
        <w:ind w:firstLine="560"/>
        <w:rPr>
          <w:rFonts w:ascii="Times New Roman" w:hAnsi="Times New Roman"/>
          <w:szCs w:val="28"/>
        </w:rPr>
      </w:pPr>
      <w:r>
        <w:rPr>
          <w:rFonts w:hint="eastAsia" w:ascii="Times New Roman" w:hAnsi="Times New Roman"/>
          <w:szCs w:val="28"/>
        </w:rPr>
        <w:t>（8）</w:t>
      </w:r>
      <w:r>
        <w:rPr>
          <w:rFonts w:ascii="Times New Roman" w:hAnsi="Times New Roman"/>
          <w:szCs w:val="28"/>
        </w:rPr>
        <w:t>项目公司在未正式完成交接前，应善意履行看守职责，保障正常提供公共服务。</w:t>
      </w:r>
    </w:p>
    <w:p>
      <w:pPr>
        <w:pStyle w:val="4"/>
        <w:spacing w:before="160" w:after="160"/>
        <w:ind w:firstLine="562"/>
        <w:rPr>
          <w:rFonts w:ascii="Times New Roman" w:hAnsi="Times New Roman"/>
          <w:szCs w:val="28"/>
        </w:rPr>
      </w:pPr>
      <w:bookmarkStart w:id="192" w:name="_Toc468088655"/>
      <w:bookmarkStart w:id="193" w:name="_Toc453432037"/>
      <w:bookmarkStart w:id="194" w:name="_Toc23961"/>
      <w:bookmarkStart w:id="195" w:name="_Toc15707"/>
      <w:r>
        <w:rPr>
          <w:rFonts w:ascii="Times New Roman" w:hAnsi="Times New Roman"/>
          <w:szCs w:val="28"/>
        </w:rPr>
        <w:t>5.5.2 移交标准</w:t>
      </w:r>
      <w:bookmarkEnd w:id="192"/>
      <w:bookmarkEnd w:id="193"/>
      <w:bookmarkEnd w:id="194"/>
      <w:bookmarkEnd w:id="195"/>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在移交日之前不早于12个月，项目公司应按照PPP项目合同约定的最后恢复性大修计划对项目设施进行恢复性大修，此大修必须在移交日前的2个月之前完成。</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通过最后恢复性大修，项目公司应确保关键设备的整体完好率达到PPP项目合同约定。</w:t>
      </w:r>
    </w:p>
    <w:p>
      <w:pPr>
        <w:pStyle w:val="4"/>
        <w:ind w:firstLine="562"/>
        <w:rPr>
          <w:rFonts w:ascii="Times New Roman" w:hAnsi="Times New Roman"/>
          <w:szCs w:val="28"/>
        </w:rPr>
      </w:pPr>
      <w:bookmarkStart w:id="196" w:name="_Toc11497"/>
      <w:bookmarkStart w:id="197" w:name="_Toc14654"/>
      <w:bookmarkStart w:id="198" w:name="_Toc468088656"/>
      <w:bookmarkStart w:id="199" w:name="_Toc453432038"/>
      <w:r>
        <w:rPr>
          <w:rFonts w:ascii="Times New Roman" w:hAnsi="Times New Roman"/>
          <w:szCs w:val="28"/>
        </w:rPr>
        <w:t>5.5.3 绩效评价</w:t>
      </w:r>
      <w:bookmarkEnd w:id="196"/>
      <w:bookmarkEnd w:id="197"/>
      <w:bookmarkEnd w:id="198"/>
      <w:bookmarkEnd w:id="199"/>
    </w:p>
    <w:p>
      <w:pPr>
        <w:ind w:firstLine="560"/>
        <w:rPr>
          <w:rFonts w:ascii="Times New Roman" w:hAnsi="Times New Roman"/>
          <w:szCs w:val="28"/>
        </w:rPr>
      </w:pPr>
      <w:r>
        <w:rPr>
          <w:rFonts w:ascii="Times New Roman" w:hAnsi="Times New Roman"/>
          <w:szCs w:val="28"/>
        </w:rPr>
        <w:t>在项目移交完成后，财政部门组织有关部门对项目产出、成本效益、监管成效、可持续性、政府和社会资本合作模式应用等进行绩效评价，并按相关规定公开评价结果。评价结果作为政府开展政府和社会资本合作管理工作决策参考依据。</w:t>
      </w:r>
    </w:p>
    <w:p>
      <w:pPr>
        <w:pStyle w:val="3"/>
        <w:spacing w:before="200" w:after="200" w:line="560" w:lineRule="exact"/>
        <w:ind w:firstLine="562"/>
        <w:jc w:val="left"/>
        <w:rPr>
          <w:rFonts w:ascii="Times New Roman" w:hAnsi="Times New Roman"/>
          <w:szCs w:val="28"/>
        </w:rPr>
      </w:pPr>
      <w:bookmarkStart w:id="200" w:name="_Toc468088657"/>
      <w:bookmarkStart w:id="201" w:name="_Toc17617"/>
      <w:bookmarkStart w:id="202" w:name="_Toc453432039"/>
      <w:r>
        <w:rPr>
          <w:rFonts w:ascii="Times New Roman" w:hAnsi="Times New Roman"/>
          <w:szCs w:val="28"/>
        </w:rPr>
        <w:t>5.6 履约保障</w:t>
      </w:r>
      <w:bookmarkEnd w:id="200"/>
      <w:bookmarkEnd w:id="201"/>
      <w:bookmarkEnd w:id="202"/>
    </w:p>
    <w:p>
      <w:pPr>
        <w:pStyle w:val="4"/>
        <w:spacing w:before="160" w:after="160"/>
        <w:ind w:firstLine="562"/>
        <w:rPr>
          <w:rFonts w:ascii="Times New Roman" w:hAnsi="Times New Roman"/>
          <w:szCs w:val="28"/>
        </w:rPr>
      </w:pPr>
      <w:bookmarkStart w:id="203" w:name="_Toc14553"/>
      <w:bookmarkStart w:id="204" w:name="_Toc468088658"/>
      <w:bookmarkStart w:id="205" w:name="_Toc11167"/>
      <w:bookmarkStart w:id="206" w:name="_Toc453432040"/>
      <w:r>
        <w:rPr>
          <w:rFonts w:ascii="Times New Roman" w:hAnsi="Times New Roman"/>
          <w:szCs w:val="28"/>
        </w:rPr>
        <w:t>5.6.1 强制保险</w:t>
      </w:r>
      <w:bookmarkEnd w:id="203"/>
      <w:bookmarkEnd w:id="204"/>
      <w:bookmarkEnd w:id="205"/>
      <w:bookmarkEnd w:id="206"/>
    </w:p>
    <w:p>
      <w:pPr>
        <w:ind w:firstLine="560"/>
        <w:rPr>
          <w:rFonts w:ascii="Times New Roman" w:hAnsi="Times New Roman"/>
          <w:color w:val="000000"/>
          <w:szCs w:val="28"/>
        </w:rPr>
      </w:pPr>
      <w:r>
        <w:rPr>
          <w:rFonts w:ascii="Times New Roman" w:hAnsi="Times New Roman"/>
          <w:color w:val="000000"/>
          <w:szCs w:val="28"/>
        </w:rPr>
        <w:t>项目公司应承担购买并维持保险的相关义务，具体包括：</w:t>
      </w:r>
    </w:p>
    <w:p>
      <w:pPr>
        <w:ind w:firstLine="560"/>
        <w:rPr>
          <w:rFonts w:ascii="Times New Roman" w:hAnsi="Times New Roman"/>
          <w:color w:val="000000"/>
          <w:szCs w:val="28"/>
        </w:rPr>
      </w:pPr>
      <w:r>
        <w:rPr>
          <w:rFonts w:hint="eastAsia" w:ascii="Times New Roman" w:hAnsi="Times New Roman"/>
          <w:color w:val="000000"/>
          <w:szCs w:val="28"/>
        </w:rPr>
        <w:t>（1）</w:t>
      </w:r>
      <w:r>
        <w:rPr>
          <w:rFonts w:ascii="Times New Roman" w:hAnsi="Times New Roman"/>
          <w:color w:val="000000"/>
          <w:szCs w:val="28"/>
        </w:rPr>
        <w:t>在整个PPP项目合作期限内，购买并维持项目合同约定的保险，确保其有效且达到合同约定的最低保险金额；</w:t>
      </w:r>
    </w:p>
    <w:p>
      <w:pPr>
        <w:ind w:firstLine="560"/>
        <w:rPr>
          <w:rFonts w:ascii="Times New Roman" w:hAnsi="Times New Roman"/>
          <w:color w:val="000000"/>
          <w:szCs w:val="28"/>
        </w:rPr>
      </w:pPr>
      <w:r>
        <w:rPr>
          <w:rFonts w:hint="eastAsia" w:ascii="Times New Roman" w:hAnsi="Times New Roman"/>
          <w:color w:val="000000"/>
          <w:szCs w:val="28"/>
        </w:rPr>
        <w:t>（2）</w:t>
      </w:r>
      <w:r>
        <w:rPr>
          <w:rFonts w:ascii="Times New Roman" w:hAnsi="Times New Roman"/>
          <w:color w:val="000000"/>
          <w:szCs w:val="28"/>
        </w:rPr>
        <w:t>督促保险人或保险人的代理人在投保或续保后尽快向政府提供保险凭证，以证明项目公司已按合同规定取得保单并支付保费；</w:t>
      </w:r>
    </w:p>
    <w:p>
      <w:pPr>
        <w:ind w:firstLine="560"/>
        <w:rPr>
          <w:rFonts w:ascii="Times New Roman" w:hAnsi="Times New Roman"/>
          <w:color w:val="000000"/>
          <w:szCs w:val="28"/>
        </w:rPr>
      </w:pPr>
      <w:r>
        <w:rPr>
          <w:rFonts w:hint="eastAsia" w:ascii="Times New Roman" w:hAnsi="Times New Roman"/>
          <w:color w:val="000000"/>
          <w:szCs w:val="28"/>
        </w:rPr>
        <w:t>（3）</w:t>
      </w:r>
      <w:r>
        <w:rPr>
          <w:rFonts w:ascii="Times New Roman" w:hAnsi="Times New Roman"/>
          <w:color w:val="000000"/>
          <w:szCs w:val="28"/>
        </w:rPr>
        <w:t>如果项目公司没有购买或维持合同约定的某项保险，则政府方可以投保该项保险，并从履约保函项下扣抵其所支付的保费或要求项目公司偿还该项保费；</w:t>
      </w:r>
    </w:p>
    <w:p>
      <w:pPr>
        <w:ind w:firstLine="560"/>
        <w:rPr>
          <w:rFonts w:ascii="Times New Roman" w:hAnsi="Times New Roman"/>
          <w:color w:val="000000"/>
          <w:szCs w:val="28"/>
        </w:rPr>
      </w:pPr>
      <w:r>
        <w:rPr>
          <w:rFonts w:hint="eastAsia" w:ascii="Times New Roman" w:hAnsi="Times New Roman"/>
          <w:color w:val="000000"/>
          <w:szCs w:val="28"/>
        </w:rPr>
        <w:t>（4）</w:t>
      </w:r>
      <w:r>
        <w:rPr>
          <w:rFonts w:ascii="Times New Roman" w:hAnsi="Times New Roman"/>
          <w:color w:val="000000"/>
          <w:szCs w:val="28"/>
        </w:rPr>
        <w:t>向保险人或保险代理人提供完整、真实的项目可披露信息；</w:t>
      </w:r>
    </w:p>
    <w:p>
      <w:pPr>
        <w:ind w:firstLine="560"/>
        <w:rPr>
          <w:rFonts w:ascii="Times New Roman" w:hAnsi="Times New Roman"/>
          <w:color w:val="000000"/>
          <w:szCs w:val="28"/>
        </w:rPr>
      </w:pPr>
      <w:r>
        <w:rPr>
          <w:rFonts w:hint="eastAsia" w:ascii="Times New Roman" w:hAnsi="Times New Roman"/>
          <w:color w:val="000000"/>
          <w:szCs w:val="28"/>
        </w:rPr>
        <w:t>（5）</w:t>
      </w:r>
      <w:r>
        <w:rPr>
          <w:rFonts w:ascii="Times New Roman" w:hAnsi="Times New Roman"/>
          <w:color w:val="000000"/>
          <w:szCs w:val="28"/>
        </w:rPr>
        <w:t>在任何时候不得作出或允许任何其他人作出任何可能导致保险全部或部分失效、可撤销、中止或受损害的行为；</w:t>
      </w:r>
    </w:p>
    <w:p>
      <w:pPr>
        <w:ind w:firstLine="560"/>
        <w:rPr>
          <w:rFonts w:ascii="Times New Roman" w:hAnsi="Times New Roman"/>
          <w:color w:val="000000"/>
          <w:szCs w:val="28"/>
        </w:rPr>
      </w:pPr>
      <w:r>
        <w:rPr>
          <w:rFonts w:hint="eastAsia" w:ascii="Times New Roman" w:hAnsi="Times New Roman"/>
          <w:color w:val="000000"/>
          <w:szCs w:val="28"/>
        </w:rPr>
        <w:t>（6）</w:t>
      </w:r>
      <w:r>
        <w:rPr>
          <w:rFonts w:ascii="Times New Roman" w:hAnsi="Times New Roman"/>
          <w:color w:val="000000"/>
          <w:szCs w:val="28"/>
        </w:rPr>
        <w:t>当发生任何可能影响保险或其项下的任何权利主张的情况或事件时，项目公司应立即书面通知政府方；</w:t>
      </w:r>
    </w:p>
    <w:p>
      <w:pPr>
        <w:ind w:firstLine="560"/>
        <w:rPr>
          <w:rFonts w:ascii="Times New Roman" w:hAnsi="Times New Roman"/>
          <w:color w:val="000000"/>
          <w:szCs w:val="28"/>
        </w:rPr>
      </w:pPr>
      <w:r>
        <w:rPr>
          <w:rFonts w:hint="eastAsia" w:ascii="Times New Roman" w:hAnsi="Times New Roman"/>
          <w:color w:val="000000"/>
          <w:szCs w:val="28"/>
        </w:rPr>
        <w:t>（7）</w:t>
      </w:r>
      <w:r>
        <w:rPr>
          <w:rFonts w:ascii="Times New Roman" w:hAnsi="Times New Roman"/>
          <w:color w:val="000000"/>
          <w:szCs w:val="28"/>
        </w:rPr>
        <w:t>尽一切合理努力协助政府或其他被保险人及时就保险提出索赔或理赔。</w:t>
      </w:r>
    </w:p>
    <w:p>
      <w:pPr>
        <w:ind w:firstLine="560"/>
        <w:rPr>
          <w:rFonts w:ascii="Times New Roman" w:hAnsi="Times New Roman"/>
          <w:color w:val="000000"/>
          <w:szCs w:val="28"/>
        </w:rPr>
      </w:pPr>
      <w:r>
        <w:rPr>
          <w:rFonts w:hint="eastAsia" w:ascii="Times New Roman" w:hAnsi="Times New Roman"/>
          <w:color w:val="000000"/>
          <w:szCs w:val="28"/>
        </w:rPr>
        <w:t>（8）</w:t>
      </w:r>
      <w:r>
        <w:rPr>
          <w:rFonts w:ascii="Times New Roman" w:hAnsi="Times New Roman"/>
          <w:color w:val="000000"/>
          <w:szCs w:val="28"/>
        </w:rPr>
        <w:t>项目公司所投险种包括但不限于：建筑工程一切险；安装工程一切险；财产险；第三者责任险。</w:t>
      </w:r>
    </w:p>
    <w:p>
      <w:pPr>
        <w:pStyle w:val="4"/>
        <w:spacing w:before="160" w:after="160"/>
        <w:ind w:firstLine="562"/>
      </w:pPr>
      <w:bookmarkStart w:id="207" w:name="_Toc1044"/>
      <w:bookmarkStart w:id="208" w:name="_Toc468088659"/>
      <w:bookmarkStart w:id="209" w:name="_Toc6958"/>
      <w:bookmarkStart w:id="210" w:name="_Toc21693"/>
      <w:bookmarkStart w:id="211" w:name="_Toc22396"/>
      <w:r>
        <w:rPr>
          <w:rFonts w:ascii="Times New Roman" w:hAnsi="Times New Roman"/>
          <w:szCs w:val="28"/>
        </w:rPr>
        <w:t>5.6.2 履约保证</w:t>
      </w:r>
      <w:bookmarkEnd w:id="207"/>
      <w:bookmarkEnd w:id="208"/>
      <w:bookmarkEnd w:id="209"/>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投资履约保证金</w:t>
      </w:r>
    </w:p>
    <w:p>
      <w:pPr>
        <w:ind w:firstLine="560"/>
        <w:rPr>
          <w:rFonts w:ascii="Times New Roman" w:hAnsi="Times New Roman"/>
          <w:szCs w:val="28"/>
        </w:rPr>
      </w:pPr>
      <w:r>
        <w:rPr>
          <w:rFonts w:ascii="Times New Roman" w:hAnsi="Times New Roman"/>
          <w:szCs w:val="28"/>
        </w:rPr>
        <w:t>社会资本应按合资PPP项目合同向政府方出具投资履约保证金，其形式应为现金或见索即付的银行保函、政府方接受的其他格式的银行保函，作为其履行投资义务的保证。</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项目建设履约保函</w:t>
      </w:r>
      <w:bookmarkEnd w:id="210"/>
      <w:bookmarkEnd w:id="211"/>
    </w:p>
    <w:p>
      <w:pPr>
        <w:ind w:firstLine="560"/>
        <w:rPr>
          <w:rFonts w:ascii="Times New Roman" w:hAnsi="Times New Roman"/>
          <w:szCs w:val="28"/>
        </w:rPr>
      </w:pPr>
      <w:r>
        <w:rPr>
          <w:rFonts w:ascii="Times New Roman" w:hAnsi="Times New Roman"/>
          <w:szCs w:val="28"/>
        </w:rPr>
        <w:t>项目公司应在项目合同全部生效之日起20个工作日内向政府方出具建设履约保函，其格式应为见索即付的银行保函或为政府方接受的其他格式的银行保函，作为其履行建设期义务的保证。项目建设期的保函按合同约定金额，担保期按PPP项目合同约定。</w:t>
      </w:r>
    </w:p>
    <w:p>
      <w:pPr>
        <w:ind w:firstLine="560"/>
        <w:rPr>
          <w:rFonts w:ascii="Times New Roman" w:hAnsi="Times New Roman"/>
          <w:szCs w:val="28"/>
        </w:rPr>
      </w:pPr>
      <w:bookmarkStart w:id="212" w:name="_Toc5957"/>
      <w:bookmarkStart w:id="213" w:name="_Toc5764"/>
      <w:r>
        <w:rPr>
          <w:rFonts w:hint="eastAsia" w:ascii="Times New Roman" w:hAnsi="Times New Roman"/>
          <w:szCs w:val="28"/>
        </w:rPr>
        <w:t>（3）</w:t>
      </w:r>
      <w:r>
        <w:rPr>
          <w:rFonts w:ascii="Times New Roman" w:hAnsi="Times New Roman"/>
          <w:szCs w:val="28"/>
        </w:rPr>
        <w:t>运营维护保函</w:t>
      </w:r>
      <w:bookmarkEnd w:id="212"/>
      <w:bookmarkEnd w:id="213"/>
    </w:p>
    <w:p>
      <w:pPr>
        <w:ind w:firstLine="560"/>
        <w:rPr>
          <w:rFonts w:ascii="Times New Roman" w:hAnsi="Times New Roman"/>
          <w:szCs w:val="28"/>
        </w:rPr>
      </w:pPr>
      <w:r>
        <w:rPr>
          <w:rFonts w:ascii="Times New Roman" w:hAnsi="Times New Roman"/>
          <w:szCs w:val="28"/>
        </w:rPr>
        <w:t>项目公司应在项目商业运营日起20 个工作日内向政府方出具运营维护保函，其格式应为见索即付的银行保函或为政府方接受的其他格式的银行保函，作为其履行整个运营期义务的保证。运营年度的保函按合同约定金额，担保期至项目移交之日。</w:t>
      </w:r>
    </w:p>
    <w:p>
      <w:pPr>
        <w:ind w:firstLine="560"/>
        <w:rPr>
          <w:rFonts w:ascii="Times New Roman" w:hAnsi="Times New Roman"/>
          <w:szCs w:val="28"/>
        </w:rPr>
      </w:pPr>
      <w:r>
        <w:rPr>
          <w:rFonts w:ascii="Times New Roman" w:hAnsi="Times New Roman"/>
          <w:szCs w:val="28"/>
        </w:rPr>
        <w:t>如果政府方在项目合作期内根据PPP项目合同的有关规定提取运营维护保函项下的款项，项目公司应确保在政府方提取后的20 个工作日内，将运营维护保函的数额恢复规定数额，且应向政府方提供运营维护保函已足额恢复的证据。</w:t>
      </w:r>
    </w:p>
    <w:p>
      <w:pPr>
        <w:ind w:firstLine="560"/>
        <w:rPr>
          <w:rFonts w:ascii="Times New Roman" w:hAnsi="Times New Roman"/>
          <w:szCs w:val="28"/>
        </w:rPr>
      </w:pPr>
      <w:bookmarkStart w:id="214" w:name="_Toc9714"/>
      <w:bookmarkStart w:id="215" w:name="_Toc3277"/>
      <w:r>
        <w:rPr>
          <w:rFonts w:hint="eastAsia" w:ascii="Times New Roman" w:hAnsi="Times New Roman"/>
          <w:szCs w:val="28"/>
        </w:rPr>
        <w:t>（4）</w:t>
      </w:r>
      <w:r>
        <w:rPr>
          <w:rFonts w:ascii="Times New Roman" w:hAnsi="Times New Roman"/>
          <w:szCs w:val="28"/>
        </w:rPr>
        <w:t>移交维修保函</w:t>
      </w:r>
      <w:bookmarkEnd w:id="214"/>
      <w:bookmarkEnd w:id="215"/>
    </w:p>
    <w:p>
      <w:pPr>
        <w:ind w:firstLine="560"/>
        <w:rPr>
          <w:rFonts w:ascii="Times New Roman" w:hAnsi="Times New Roman"/>
          <w:szCs w:val="28"/>
        </w:rPr>
      </w:pPr>
      <w:r>
        <w:rPr>
          <w:rFonts w:ascii="Times New Roman" w:hAnsi="Times New Roman"/>
          <w:szCs w:val="28"/>
        </w:rPr>
        <w:t>项目公司在特许经营期移交满终止日12个月之前向政府方出具移交维修保函，其格式应为见索即付的银行保函或为政府方接受的其他格式的银行保函，作为其履行整个移交维修期义务的保证。移交维修期的保函按合同约定金额，担保期至期满移交后 12个月届满。</w:t>
      </w:r>
    </w:p>
    <w:p>
      <w:pPr>
        <w:pStyle w:val="2"/>
        <w:spacing w:before="240" w:after="240" w:line="560" w:lineRule="exact"/>
        <w:ind w:firstLine="562"/>
        <w:jc w:val="left"/>
        <w:rPr>
          <w:rFonts w:ascii="黑体" w:hAnsi="黑体" w:eastAsia="黑体" w:cs="黑体"/>
          <w:sz w:val="28"/>
          <w:szCs w:val="28"/>
        </w:rPr>
      </w:pPr>
      <w:bookmarkStart w:id="216" w:name="_Toc4630"/>
      <w:bookmarkStart w:id="217" w:name="_Toc468088660"/>
      <w:bookmarkStart w:id="218" w:name="_Toc19128"/>
      <w:bookmarkStart w:id="219" w:name="_Toc452106687"/>
      <w:r>
        <w:rPr>
          <w:rFonts w:hint="eastAsia" w:ascii="黑体" w:hAnsi="黑体" w:eastAsia="黑体" w:cs="黑体"/>
          <w:sz w:val="28"/>
          <w:szCs w:val="28"/>
        </w:rPr>
        <w:t>六、监管架构</w:t>
      </w:r>
      <w:bookmarkEnd w:id="216"/>
      <w:bookmarkEnd w:id="217"/>
      <w:bookmarkEnd w:id="218"/>
      <w:bookmarkEnd w:id="219"/>
    </w:p>
    <w:p>
      <w:pPr>
        <w:pStyle w:val="3"/>
        <w:spacing w:before="200" w:after="200" w:line="560" w:lineRule="exact"/>
        <w:ind w:firstLine="562"/>
        <w:jc w:val="left"/>
        <w:rPr>
          <w:rFonts w:ascii="Times New Roman" w:hAnsi="Times New Roman"/>
          <w:szCs w:val="28"/>
        </w:rPr>
      </w:pPr>
      <w:bookmarkStart w:id="220" w:name="_Toc15855"/>
      <w:bookmarkStart w:id="221" w:name="_Toc16159"/>
      <w:bookmarkStart w:id="222" w:name="_Toc452106688"/>
      <w:bookmarkStart w:id="223" w:name="_Toc468088661"/>
      <w:r>
        <w:rPr>
          <w:rFonts w:ascii="Times New Roman" w:hAnsi="Times New Roman"/>
          <w:szCs w:val="28"/>
        </w:rPr>
        <w:t>6.1 授权关系</w:t>
      </w:r>
      <w:bookmarkEnd w:id="220"/>
      <w:bookmarkEnd w:id="221"/>
      <w:bookmarkEnd w:id="222"/>
      <w:bookmarkEnd w:id="223"/>
    </w:p>
    <w:p>
      <w:pPr>
        <w:ind w:firstLine="560"/>
        <w:rPr>
          <w:rFonts w:ascii="Times New Roman" w:hAnsi="Times New Roman"/>
          <w:szCs w:val="28"/>
        </w:rPr>
      </w:pPr>
      <w:r>
        <w:rPr>
          <w:rFonts w:ascii="Times New Roman" w:hAnsi="Times New Roman"/>
          <w:szCs w:val="28"/>
        </w:rPr>
        <w:t>区粮食局作为本项目政府和社会资本合作的实施机构，报区人民政府批准后明确具体授权范围。</w:t>
      </w:r>
    </w:p>
    <w:p>
      <w:pPr>
        <w:ind w:firstLine="560"/>
        <w:rPr>
          <w:rFonts w:ascii="Times New Roman" w:hAnsi="Times New Roman"/>
          <w:szCs w:val="28"/>
        </w:rPr>
      </w:pPr>
      <w:r>
        <w:rPr>
          <w:rFonts w:ascii="Times New Roman" w:hAnsi="Times New Roman"/>
          <w:szCs w:val="28"/>
        </w:rPr>
        <w:t>项目公司在治理结构上，由控股股东负责组建经营管理团队，负责日常经营工作。通过董事会、总经理办公会处理项目公司在建设和运营维护中的问题。项目公司根据项目特性制定损益分配条款，用法律形式明确各自的职责。</w:t>
      </w:r>
    </w:p>
    <w:p>
      <w:pPr>
        <w:ind w:firstLine="560"/>
        <w:rPr>
          <w:rFonts w:ascii="Times New Roman" w:hAnsi="Times New Roman"/>
          <w:szCs w:val="28"/>
        </w:rPr>
      </w:pPr>
      <w:r>
        <w:rPr>
          <w:rFonts w:ascii="Times New Roman" w:hAnsi="Times New Roman"/>
          <w:szCs w:val="28"/>
        </w:rPr>
        <w:t>本项目由项目股东、政府代表、专家顾问等协调委员会，对项目公司内部利益冲突进行协调解决，同时致力于与政府相关部门的沟通协调。对于争端解决，优先选择协调委员会协调，最后选择仲裁或者诉讼。</w:t>
      </w:r>
    </w:p>
    <w:p>
      <w:pPr>
        <w:pStyle w:val="3"/>
        <w:spacing w:before="200" w:after="200" w:line="560" w:lineRule="exact"/>
        <w:ind w:firstLine="562"/>
        <w:jc w:val="left"/>
        <w:rPr>
          <w:rFonts w:ascii="Times New Roman" w:hAnsi="Times New Roman"/>
          <w:szCs w:val="28"/>
        </w:rPr>
      </w:pPr>
      <w:bookmarkStart w:id="224" w:name="_Toc468088662"/>
      <w:bookmarkStart w:id="225" w:name="_Toc10575"/>
      <w:bookmarkStart w:id="226" w:name="_Toc15287"/>
      <w:bookmarkStart w:id="227" w:name="_Toc452106689"/>
      <w:r>
        <w:rPr>
          <w:rFonts w:ascii="Times New Roman" w:hAnsi="Times New Roman"/>
          <w:szCs w:val="28"/>
        </w:rPr>
        <w:t>6.2 监管方式</w:t>
      </w:r>
      <w:bookmarkEnd w:id="224"/>
      <w:bookmarkEnd w:id="225"/>
      <w:bookmarkEnd w:id="226"/>
      <w:bookmarkEnd w:id="227"/>
    </w:p>
    <w:p>
      <w:pPr>
        <w:ind w:firstLine="560"/>
        <w:rPr>
          <w:rFonts w:ascii="仿宋_GB2312" w:hAnsi="仿宋_GB2312" w:eastAsia="仿宋_GB2312" w:cs="仿宋_GB2312"/>
          <w:color w:val="000000"/>
          <w:szCs w:val="28"/>
        </w:rPr>
      </w:pPr>
      <w:r>
        <w:rPr>
          <w:rFonts w:ascii="Times New Roman" w:hAnsi="Times New Roman"/>
          <w:color w:val="000000"/>
          <w:szCs w:val="28"/>
        </w:rPr>
        <w:t>本项目的监管方式包括行政监管、履约管理和公众监督三个层次，涵盖项目的全寿命周期。</w:t>
      </w:r>
    </w:p>
    <w:p>
      <w:pPr>
        <w:pStyle w:val="4"/>
        <w:spacing w:before="160" w:after="160"/>
        <w:ind w:firstLine="562"/>
        <w:rPr>
          <w:rFonts w:ascii="Times New Roman" w:hAnsi="Times New Roman"/>
          <w:szCs w:val="28"/>
        </w:rPr>
      </w:pPr>
      <w:bookmarkStart w:id="228" w:name="_Toc452106690"/>
      <w:bookmarkStart w:id="229" w:name="_Toc2258"/>
      <w:bookmarkStart w:id="230" w:name="_Toc5821"/>
      <w:bookmarkStart w:id="231" w:name="_Toc468088663"/>
      <w:r>
        <w:rPr>
          <w:rFonts w:ascii="Times New Roman" w:hAnsi="Times New Roman"/>
          <w:szCs w:val="28"/>
        </w:rPr>
        <w:t>6.2.1 行政监管</w:t>
      </w:r>
      <w:bookmarkEnd w:id="228"/>
      <w:bookmarkEnd w:id="229"/>
      <w:bookmarkEnd w:id="230"/>
      <w:bookmarkEnd w:id="231"/>
    </w:p>
    <w:p>
      <w:pPr>
        <w:ind w:firstLine="560"/>
      </w:pPr>
      <w:r>
        <w:rPr>
          <w:rFonts w:ascii="Times New Roman" w:hAnsi="Times New Roman"/>
          <w:szCs w:val="28"/>
        </w:rPr>
        <w:t>政府方享有法律赋予的行政管理的职权，同时享有其作为PPP项目合同一方签约主体的权利，在前期准入、项目投融资、建设、运营管理维护、中期评估、移交等全过程全环节承担履约管理职责。本项目作为影响社会公共利益、负有重大社会责任的基础设施建设项目，亦需接受广泛的公众监督。</w:t>
      </w:r>
    </w:p>
    <w:p>
      <w:pPr>
        <w:ind w:firstLine="560"/>
        <w:rPr>
          <w:rFonts w:ascii="Times New Roman" w:hAnsi="Times New Roman"/>
          <w:szCs w:val="28"/>
        </w:rPr>
      </w:pPr>
      <w:r>
        <w:rPr>
          <w:rFonts w:ascii="Times New Roman" w:hAnsi="Times New Roman"/>
          <w:szCs w:val="28"/>
        </w:rPr>
        <w:t>区粮食局作为行业主管部门，负责对项目投资、建设及运营进行监督管理。行业监管主体包括区财政、发改、交通、国土、环保等部门，主要是在项目前期承担各类审批职责，并在各自职权范围内发挥监管作用。</w:t>
      </w:r>
      <w:r>
        <w:rPr>
          <w:rFonts w:ascii="Times New Roman" w:hAnsi="Times New Roman"/>
          <w:color w:val="000000" w:themeColor="text1"/>
          <w:szCs w:val="28"/>
        </w:rPr>
        <w:t>区</w:t>
      </w:r>
      <w:r>
        <w:rPr>
          <w:rFonts w:hint="eastAsia" w:ascii="Times New Roman" w:hAnsi="Times New Roman"/>
          <w:color w:val="000000" w:themeColor="text1"/>
          <w:szCs w:val="28"/>
        </w:rPr>
        <w:t>市场监管</w:t>
      </w:r>
      <w:r>
        <w:rPr>
          <w:rFonts w:ascii="Times New Roman" w:hAnsi="Times New Roman"/>
          <w:color w:val="000000" w:themeColor="text1"/>
          <w:szCs w:val="28"/>
        </w:rPr>
        <w:t>、税务、</w:t>
      </w:r>
      <w:r>
        <w:rPr>
          <w:rFonts w:ascii="Times New Roman" w:hAnsi="Times New Roman"/>
          <w:szCs w:val="28"/>
        </w:rPr>
        <w:t>电力、公安等部门，根据各自的职责范围对本项目的建设和运营等相关方面进行监管，履行其相应职能。</w:t>
      </w:r>
    </w:p>
    <w:p>
      <w:pPr>
        <w:ind w:firstLine="560"/>
        <w:rPr>
          <w:rFonts w:ascii="Times New Roman" w:hAnsi="Times New Roman"/>
          <w:szCs w:val="28"/>
        </w:rPr>
      </w:pPr>
      <w:r>
        <w:rPr>
          <w:rFonts w:ascii="Times New Roman" w:hAnsi="Times New Roman"/>
          <w:szCs w:val="28"/>
        </w:rPr>
        <w:t>项目前期阶段的立项、规划、可研、选定社会投资人、项目公司注册成立等一系列工作均需行政主管、行业监管等职能部门的审批，即政府部门履行PPP项目的准入监管和投资监管职责。</w:t>
      </w:r>
    </w:p>
    <w:p>
      <w:pPr>
        <w:ind w:firstLine="560"/>
        <w:rPr>
          <w:rFonts w:ascii="Times New Roman" w:hAnsi="Times New Roman"/>
          <w:szCs w:val="28"/>
        </w:rPr>
      </w:pPr>
      <w:r>
        <w:rPr>
          <w:rFonts w:ascii="Times New Roman" w:hAnsi="Times New Roman"/>
          <w:szCs w:val="28"/>
        </w:rPr>
        <w:t>从建设阶段开始，行政监管的重点主要集中在以下几方面：</w:t>
      </w:r>
    </w:p>
    <w:p>
      <w:pPr>
        <w:ind w:firstLine="560"/>
        <w:rPr>
          <w:rFonts w:ascii="Times New Roman" w:hAnsi="Times New Roman"/>
          <w:szCs w:val="28"/>
        </w:rPr>
      </w:pPr>
      <w:r>
        <w:rPr>
          <w:rFonts w:ascii="Times New Roman" w:hAnsi="Times New Roman"/>
          <w:szCs w:val="28"/>
        </w:rPr>
        <w:t>公共安全：本项目涉及公共利益和公共安全，在项目建设期和运营期均可能发生影响公共安全的事故。各相关行政部门应在各自职权内对项目实施安全监督监察，防范重大安全事故发生。监管职责包括但不限于建设工程安全检查、生产运营设施达标检查等。</w:t>
      </w:r>
    </w:p>
    <w:p>
      <w:pPr>
        <w:ind w:firstLine="560"/>
        <w:rPr>
          <w:rFonts w:ascii="Times New Roman" w:hAnsi="Times New Roman"/>
          <w:szCs w:val="28"/>
        </w:rPr>
      </w:pPr>
      <w:r>
        <w:rPr>
          <w:rFonts w:ascii="Times New Roman" w:hAnsi="Times New Roman"/>
          <w:szCs w:val="28"/>
        </w:rPr>
        <w:t>环境保护：项目运营过程中，应由行业主管部门牵头，对项目各项运营指标进行严格的监督检查，并制定定期检查及不定期抽查制度，辅以完善的奖惩制度，以保证项目在运营过程中各项运营指标满足项目设计规划要求。</w:t>
      </w:r>
    </w:p>
    <w:p>
      <w:pPr>
        <w:ind w:firstLine="560"/>
        <w:rPr>
          <w:rFonts w:ascii="Times New Roman" w:hAnsi="Times New Roman"/>
          <w:szCs w:val="28"/>
        </w:rPr>
      </w:pPr>
      <w:r>
        <w:rPr>
          <w:rFonts w:ascii="Times New Roman" w:hAnsi="Times New Roman"/>
          <w:szCs w:val="28"/>
        </w:rPr>
        <w:t>价格监管：按相关定价文件执行。</w:t>
      </w:r>
    </w:p>
    <w:p>
      <w:pPr>
        <w:ind w:firstLine="560"/>
      </w:pPr>
      <w:r>
        <w:rPr>
          <w:rFonts w:ascii="Times New Roman" w:hAnsi="Times New Roman"/>
          <w:szCs w:val="28"/>
        </w:rPr>
        <w:t>绩效监管：区财政局会同相关职能监管部门制定完善的项目绩效评价体系，加强对项目公司在PPP合同期内绩效的考核，全面评估项目的技术、管理运营和财务表现，督促投资人持续改进项目管理水平，提升服务效率。</w:t>
      </w:r>
    </w:p>
    <w:p>
      <w:pPr>
        <w:pStyle w:val="4"/>
        <w:spacing w:before="160" w:after="160"/>
        <w:ind w:firstLine="562"/>
        <w:rPr>
          <w:rFonts w:ascii="Times New Roman" w:hAnsi="Times New Roman"/>
          <w:szCs w:val="28"/>
        </w:rPr>
      </w:pPr>
      <w:bookmarkStart w:id="232" w:name="_Toc452106691"/>
      <w:bookmarkStart w:id="233" w:name="_Toc29523"/>
      <w:bookmarkStart w:id="234" w:name="_Toc32651"/>
      <w:bookmarkStart w:id="235" w:name="_Toc468088664"/>
      <w:r>
        <w:rPr>
          <w:rFonts w:ascii="Times New Roman" w:hAnsi="Times New Roman"/>
          <w:szCs w:val="28"/>
        </w:rPr>
        <w:t>6.2.2 履约管理</w:t>
      </w:r>
      <w:bookmarkEnd w:id="232"/>
      <w:bookmarkEnd w:id="233"/>
      <w:bookmarkEnd w:id="234"/>
      <w:bookmarkEnd w:id="235"/>
    </w:p>
    <w:p>
      <w:pPr>
        <w:ind w:firstLine="560"/>
        <w:rPr>
          <w:rFonts w:ascii="Times New Roman" w:hAnsi="Times New Roman"/>
          <w:szCs w:val="28"/>
        </w:rPr>
      </w:pPr>
      <w:r>
        <w:rPr>
          <w:rFonts w:ascii="Times New Roman" w:hAnsi="Times New Roman"/>
          <w:szCs w:val="28"/>
        </w:rPr>
        <w:t>区粮食局作为政府方履约管理的责任主体，按照项目协议约定，督促项目公司落实相关承诺。</w:t>
      </w:r>
    </w:p>
    <w:p>
      <w:pPr>
        <w:ind w:firstLine="560"/>
        <w:rPr>
          <w:rFonts w:ascii="Times New Roman" w:hAnsi="Times New Roman"/>
          <w:szCs w:val="28"/>
        </w:rPr>
      </w:pPr>
      <w:r>
        <w:rPr>
          <w:rFonts w:ascii="Times New Roman" w:hAnsi="Times New Roman"/>
          <w:szCs w:val="28"/>
        </w:rPr>
        <w:t>履约监管的范围限于项目协议确定的权利义务边界。对于项目协议有所约定的情形，各方需遵从合同约定；对于项目协议没有约定的情形，双方应本着“平等、友好”的原则的协商解决。</w:t>
      </w:r>
    </w:p>
    <w:p>
      <w:pPr>
        <w:pStyle w:val="4"/>
        <w:spacing w:before="160" w:after="160"/>
        <w:ind w:firstLine="562"/>
        <w:rPr>
          <w:rFonts w:ascii="Times New Roman" w:hAnsi="Times New Roman"/>
          <w:szCs w:val="28"/>
        </w:rPr>
      </w:pPr>
      <w:bookmarkStart w:id="236" w:name="_Toc452106692"/>
      <w:bookmarkStart w:id="237" w:name="_Toc468088665"/>
      <w:bookmarkStart w:id="238" w:name="_Toc14385"/>
      <w:bookmarkStart w:id="239" w:name="_Toc3816"/>
      <w:r>
        <w:rPr>
          <w:rFonts w:ascii="Times New Roman" w:hAnsi="Times New Roman"/>
          <w:szCs w:val="28"/>
        </w:rPr>
        <w:t>6.2.3 公众监督</w:t>
      </w:r>
      <w:bookmarkEnd w:id="236"/>
      <w:bookmarkEnd w:id="237"/>
      <w:bookmarkEnd w:id="238"/>
      <w:bookmarkEnd w:id="239"/>
    </w:p>
    <w:p>
      <w:pPr>
        <w:ind w:firstLine="560"/>
        <w:rPr>
          <w:rFonts w:ascii="Times New Roman" w:hAnsi="Times New Roman"/>
          <w:szCs w:val="28"/>
        </w:rPr>
      </w:pPr>
      <w:r>
        <w:rPr>
          <w:rFonts w:ascii="Times New Roman" w:hAnsi="Times New Roman"/>
          <w:szCs w:val="28"/>
        </w:rPr>
        <w:t>社会公众有权对特许经营活动进行监督，向有关监管部门投诉，或者向实施机构和特许经营者提出意见建议。项目公司应主动建立一套有效的公众沟通机制，具体包括：</w:t>
      </w:r>
    </w:p>
    <w:p>
      <w:pPr>
        <w:ind w:firstLine="560"/>
        <w:rPr>
          <w:rFonts w:ascii="Times New Roman" w:hAnsi="Times New Roman"/>
          <w:szCs w:val="28"/>
        </w:rPr>
      </w:pPr>
      <w:r>
        <w:rPr>
          <w:rFonts w:ascii="Times New Roman" w:hAnsi="Times New Roman"/>
          <w:szCs w:val="28"/>
        </w:rPr>
        <w:t>在处理涉及公众利益的相关问题上，项目公司应该主动提前公示，如环保、拆迁、紧急疏散、运营计划调整等事项。</w:t>
      </w:r>
    </w:p>
    <w:p>
      <w:pPr>
        <w:ind w:firstLine="560"/>
        <w:rPr>
          <w:rFonts w:ascii="Times New Roman" w:hAnsi="Times New Roman"/>
          <w:szCs w:val="28"/>
        </w:rPr>
      </w:pPr>
      <w:r>
        <w:rPr>
          <w:rFonts w:ascii="Times New Roman" w:hAnsi="Times New Roman"/>
          <w:szCs w:val="28"/>
        </w:rPr>
        <w:t>公示的渠道应当包括但不限于：政府和项目公司的官方网站、官方微博、微信号、当地主要媒体等。根据事件的影响范围和重要程度，双方可选择合适的信息发布渠道。</w:t>
      </w:r>
    </w:p>
    <w:p>
      <w:pPr>
        <w:ind w:firstLine="560"/>
        <w:rPr>
          <w:rFonts w:ascii="Times New Roman" w:hAnsi="Times New Roman"/>
          <w:szCs w:val="28"/>
        </w:rPr>
      </w:pPr>
      <w:r>
        <w:rPr>
          <w:rFonts w:ascii="Times New Roman" w:hAnsi="Times New Roman"/>
          <w:szCs w:val="28"/>
        </w:rPr>
        <w:t>建立通畅的公众意见反馈的渠道，如设立投诉热线、开通具有信息反馈功能的官方微博、微信号等，并指定专门的部门或人员负责，对公众意见提供反馈。</w:t>
      </w:r>
    </w:p>
    <w:p>
      <w:pPr>
        <w:ind w:firstLine="560"/>
        <w:rPr>
          <w:rFonts w:ascii="Times New Roman" w:hAnsi="Times New Roman"/>
          <w:szCs w:val="28"/>
        </w:rPr>
      </w:pPr>
      <w:r>
        <w:rPr>
          <w:rFonts w:ascii="Times New Roman" w:hAnsi="Times New Roman"/>
          <w:szCs w:val="28"/>
        </w:rPr>
        <w:t>项目公司可根据企业的人力资源情况，设立新闻办公室或类似机构，负责信息平台的维护运营、媒体关系的处理、公众信息的搜集和反馈等。</w:t>
      </w:r>
    </w:p>
    <w:p>
      <w:pPr>
        <w:pStyle w:val="2"/>
        <w:spacing w:before="240" w:after="240" w:line="560" w:lineRule="exact"/>
        <w:ind w:firstLine="562"/>
        <w:jc w:val="left"/>
        <w:rPr>
          <w:rFonts w:ascii="黑体" w:hAnsi="黑体" w:eastAsia="黑体" w:cs="黑体"/>
          <w:sz w:val="28"/>
          <w:szCs w:val="28"/>
        </w:rPr>
      </w:pPr>
      <w:bookmarkStart w:id="240" w:name="_Toc21251"/>
      <w:bookmarkStart w:id="241" w:name="_Toc468088666"/>
      <w:r>
        <w:rPr>
          <w:rFonts w:hint="eastAsia" w:ascii="黑体" w:hAnsi="黑体" w:eastAsia="黑体" w:cs="黑体"/>
          <w:sz w:val="28"/>
          <w:szCs w:val="28"/>
        </w:rPr>
        <w:t>七、社会资本采购方式</w:t>
      </w:r>
      <w:bookmarkEnd w:id="240"/>
      <w:bookmarkEnd w:id="241"/>
    </w:p>
    <w:p>
      <w:pPr>
        <w:pStyle w:val="3"/>
        <w:spacing w:before="200" w:after="200" w:line="560" w:lineRule="exact"/>
        <w:ind w:firstLine="562"/>
        <w:jc w:val="left"/>
        <w:rPr>
          <w:rFonts w:ascii="Times New Roman" w:hAnsi="Times New Roman"/>
          <w:szCs w:val="28"/>
        </w:rPr>
      </w:pPr>
      <w:bookmarkStart w:id="242" w:name="_Toc24404"/>
      <w:bookmarkStart w:id="243" w:name="_Toc468088667"/>
      <w:bookmarkStart w:id="244" w:name="_Toc452106694"/>
      <w:bookmarkStart w:id="245" w:name="_Toc6769"/>
      <w:r>
        <w:rPr>
          <w:rFonts w:ascii="Times New Roman" w:hAnsi="Times New Roman"/>
          <w:szCs w:val="28"/>
        </w:rPr>
        <w:t>7.1 采购方式</w:t>
      </w:r>
      <w:bookmarkEnd w:id="242"/>
      <w:bookmarkEnd w:id="243"/>
      <w:bookmarkEnd w:id="244"/>
      <w:bookmarkEnd w:id="245"/>
    </w:p>
    <w:p>
      <w:pPr>
        <w:pStyle w:val="29"/>
        <w:ind w:firstLine="560"/>
        <w:rPr>
          <w:rFonts w:asciiTheme="majorEastAsia" w:hAnsiTheme="majorEastAsia" w:eastAsiaTheme="majorEastAsia"/>
          <w:sz w:val="28"/>
          <w:szCs w:val="28"/>
        </w:rPr>
      </w:pPr>
      <w:r>
        <w:rPr>
          <w:rFonts w:asciiTheme="majorEastAsia" w:hAnsiTheme="majorEastAsia" w:eastAsiaTheme="majorEastAsia"/>
          <w:color w:val="000000"/>
          <w:sz w:val="28"/>
          <w:szCs w:val="28"/>
        </w:rPr>
        <w:t>根据《中华人民共和国政府采购法》、《政府和社会资本合作模式操作指南》、《政府和社会资本合作项目政府采购管理办法》、《政府采购竞争性磋商采购方式管理暂行办法》等有关法律法规的规定，</w:t>
      </w:r>
      <w:r>
        <w:rPr>
          <w:rFonts w:hint="eastAsia" w:asciiTheme="majorEastAsia" w:hAnsiTheme="majorEastAsia" w:eastAsiaTheme="majorEastAsia"/>
          <w:sz w:val="28"/>
          <w:szCs w:val="28"/>
        </w:rPr>
        <w:t>在对本项目前期调研的基础上，经充分论证，本项目拟采用</w:t>
      </w:r>
      <w:r>
        <w:rPr>
          <w:rFonts w:hint="eastAsia" w:asciiTheme="majorEastAsia" w:hAnsiTheme="majorEastAsia" w:eastAsiaTheme="majorEastAsia"/>
          <w:b/>
          <w:bCs/>
          <w:color w:val="FF0000"/>
          <w:sz w:val="28"/>
          <w:szCs w:val="28"/>
          <w:u w:val="thick" w:color="0070C0"/>
        </w:rPr>
        <w:t>公开招标</w:t>
      </w:r>
      <w:r>
        <w:rPr>
          <w:rFonts w:hint="eastAsia" w:asciiTheme="majorEastAsia" w:hAnsiTheme="majorEastAsia" w:eastAsiaTheme="majorEastAsia"/>
          <w:sz w:val="28"/>
          <w:szCs w:val="28"/>
        </w:rPr>
        <w:t>的采购方式选择社会投资人。</w:t>
      </w:r>
    </w:p>
    <w:p>
      <w:pPr>
        <w:pStyle w:val="3"/>
        <w:spacing w:before="200" w:after="200" w:line="560" w:lineRule="exact"/>
        <w:ind w:firstLine="562"/>
        <w:jc w:val="left"/>
        <w:rPr>
          <w:rFonts w:ascii="Times New Roman" w:hAnsi="Times New Roman"/>
          <w:szCs w:val="28"/>
        </w:rPr>
      </w:pPr>
      <w:bookmarkStart w:id="246" w:name="_Toc468088668"/>
      <w:bookmarkStart w:id="247" w:name="_Toc440978805"/>
      <w:r>
        <w:rPr>
          <w:rFonts w:ascii="Times New Roman" w:hAnsi="Times New Roman"/>
          <w:szCs w:val="28"/>
        </w:rPr>
        <w:t>7.2 资格条件</w:t>
      </w:r>
      <w:bookmarkEnd w:id="246"/>
      <w:bookmarkEnd w:id="247"/>
    </w:p>
    <w:p>
      <w:pPr>
        <w:ind w:firstLine="560"/>
      </w:pPr>
      <w:r>
        <w:t>参与本项目投资竞争的社会资本应同时具备以下条件：</w:t>
      </w:r>
    </w:p>
    <w:p>
      <w:pPr>
        <w:ind w:firstLine="560"/>
      </w:pPr>
      <w:r>
        <w:rPr>
          <w:rFonts w:hint="eastAsia"/>
        </w:rPr>
        <w:t>（1）</w:t>
      </w:r>
      <w:r>
        <w:t>主体要求：具有独立法人</w:t>
      </w:r>
      <w:r>
        <w:rPr>
          <w:rFonts w:hint="eastAsia"/>
        </w:rPr>
        <w:t>资格</w:t>
      </w:r>
      <w:r>
        <w:t>。注册资本在人民币</w:t>
      </w:r>
      <w:r>
        <w:rPr>
          <w:rFonts w:hint="eastAsia"/>
        </w:rPr>
        <w:t>2</w:t>
      </w:r>
      <w:r>
        <w:t>000万元（或等值外币）以上。</w:t>
      </w:r>
    </w:p>
    <w:p>
      <w:pPr>
        <w:ind w:firstLine="560"/>
      </w:pPr>
      <w:r>
        <w:rPr>
          <w:rFonts w:hint="eastAsia"/>
        </w:rPr>
        <w:t>（2）</w:t>
      </w:r>
      <w:r>
        <w:t>企业信誉：独立法人具有良好的商业信誉，具有良好的银行资信记录。近3年财务会计资料无虚假记载、银行信用系统无不良记录。</w:t>
      </w:r>
    </w:p>
    <w:p>
      <w:pPr>
        <w:ind w:firstLine="560"/>
      </w:pPr>
      <w:r>
        <w:rPr>
          <w:rFonts w:hint="eastAsia"/>
        </w:rPr>
        <w:t>（3）</w:t>
      </w:r>
      <w:r>
        <w:t>技术能力：独立法人拟投入或拟引进经营管理团队应具备相应的粮食行业经营管理经验，具备专业的技术人才与管理人才队伍，专业知识与技术力量雄厚。</w:t>
      </w:r>
    </w:p>
    <w:p>
      <w:pPr>
        <w:ind w:firstLine="560"/>
      </w:pPr>
      <w:r>
        <w:rPr>
          <w:rFonts w:hint="eastAsia"/>
        </w:rPr>
        <w:t>（4）</w:t>
      </w:r>
      <w:r>
        <w:t>具备经营资金筹措能力。</w:t>
      </w:r>
    </w:p>
    <w:p>
      <w:pPr>
        <w:ind w:firstLine="560"/>
      </w:pPr>
      <w:r>
        <w:rPr>
          <w:rFonts w:hint="eastAsia"/>
        </w:rPr>
        <w:t>（5）具有投资建设本项目的融资能力</w:t>
      </w:r>
      <w:r>
        <w:t>。</w:t>
      </w:r>
    </w:p>
    <w:p>
      <w:pPr>
        <w:ind w:firstLine="560"/>
      </w:pPr>
      <w:r>
        <w:rPr>
          <w:rFonts w:hint="eastAsia"/>
        </w:rPr>
        <w:t>（6）</w:t>
      </w:r>
      <w:r>
        <w:t>资产负债率小于</w:t>
      </w:r>
      <w:r>
        <w:rPr>
          <w:rFonts w:hint="eastAsia"/>
        </w:rPr>
        <w:t>80</w:t>
      </w:r>
      <w:r>
        <w:t>%。</w:t>
      </w:r>
    </w:p>
    <w:p>
      <w:pPr>
        <w:ind w:firstLine="560"/>
      </w:pPr>
      <w:r>
        <w:rPr>
          <w:rFonts w:hint="eastAsia"/>
        </w:rPr>
        <w:t>（7）</w:t>
      </w:r>
      <w:r>
        <w:t>本次政府采购接受联合体申请，联合体成员数不得超过两家。</w:t>
      </w:r>
    </w:p>
    <w:p>
      <w:pPr>
        <w:ind w:firstLine="560"/>
      </w:pPr>
      <w:r>
        <w:t>注：实际资格资质条件，按照后期的资格预审文件或招标文件规定的执行。</w:t>
      </w:r>
    </w:p>
    <w:p>
      <w:pPr>
        <w:pStyle w:val="2"/>
        <w:spacing w:before="240" w:after="240" w:line="560" w:lineRule="exact"/>
        <w:ind w:firstLine="562"/>
        <w:jc w:val="left"/>
        <w:rPr>
          <w:rFonts w:ascii="黑体" w:hAnsi="黑体" w:eastAsia="黑体" w:cs="黑体"/>
          <w:sz w:val="28"/>
          <w:szCs w:val="28"/>
        </w:rPr>
      </w:pPr>
      <w:bookmarkStart w:id="248" w:name="_Toc452106696"/>
      <w:bookmarkStart w:id="249" w:name="_Toc468088669"/>
      <w:bookmarkStart w:id="250" w:name="_Toc446916435"/>
      <w:bookmarkStart w:id="251" w:name="_Toc21129"/>
      <w:bookmarkStart w:id="252" w:name="_Toc492"/>
      <w:r>
        <w:rPr>
          <w:rFonts w:hint="eastAsia" w:ascii="黑体" w:hAnsi="黑体" w:eastAsia="黑体" w:cs="黑体"/>
          <w:sz w:val="28"/>
          <w:szCs w:val="28"/>
        </w:rPr>
        <w:t>八、财务测算</w:t>
      </w:r>
      <w:bookmarkEnd w:id="248"/>
      <w:bookmarkEnd w:id="249"/>
      <w:bookmarkEnd w:id="250"/>
      <w:bookmarkEnd w:id="251"/>
      <w:bookmarkEnd w:id="252"/>
    </w:p>
    <w:p>
      <w:pPr>
        <w:ind w:firstLine="560"/>
        <w:rPr>
          <w:rFonts w:ascii="Times New Roman" w:hAnsi="Times New Roman"/>
          <w:szCs w:val="28"/>
        </w:rPr>
      </w:pPr>
      <w:bookmarkStart w:id="253" w:name="_Toc452106698"/>
      <w:r>
        <w:rPr>
          <w:rFonts w:ascii="Times New Roman" w:hAnsi="Times New Roman"/>
          <w:szCs w:val="28"/>
        </w:rPr>
        <w:t>财务分析计算期等于项目合作期。本项目计划2017年开工，2017年底竣工，建设期1年，运营</w:t>
      </w:r>
      <w:r>
        <w:rPr>
          <w:rFonts w:hint="eastAsia" w:ascii="Times New Roman" w:hAnsi="Times New Roman"/>
          <w:szCs w:val="28"/>
        </w:rPr>
        <w:t>期</w:t>
      </w:r>
      <w:r>
        <w:rPr>
          <w:rFonts w:ascii="Times New Roman" w:hAnsi="Times New Roman"/>
          <w:szCs w:val="28"/>
        </w:rPr>
        <w:t>20年。测算根据可研报告及项目实际情况，参照本地区已建成的类似项目运营数据，作为本项目的经营收入及成本的测算依据。</w:t>
      </w:r>
    </w:p>
    <w:p>
      <w:pPr>
        <w:pStyle w:val="3"/>
        <w:spacing w:before="200" w:after="200" w:line="560" w:lineRule="exact"/>
        <w:ind w:firstLine="562"/>
        <w:jc w:val="left"/>
        <w:rPr>
          <w:rFonts w:ascii="Times New Roman" w:hAnsi="Times New Roman"/>
          <w:szCs w:val="28"/>
        </w:rPr>
      </w:pPr>
      <w:bookmarkStart w:id="254" w:name="_Toc2731"/>
      <w:bookmarkStart w:id="255" w:name="_Toc31097"/>
      <w:bookmarkStart w:id="256" w:name="_Toc16276"/>
      <w:bookmarkStart w:id="257" w:name="_Toc468088670"/>
      <w:bookmarkStart w:id="258" w:name="_Toc16701"/>
      <w:r>
        <w:rPr>
          <w:rFonts w:ascii="Times New Roman" w:hAnsi="Times New Roman"/>
          <w:szCs w:val="28"/>
        </w:rPr>
        <w:t xml:space="preserve">8.1 </w:t>
      </w:r>
      <w:bookmarkEnd w:id="253"/>
      <w:r>
        <w:rPr>
          <w:rFonts w:ascii="Times New Roman" w:hAnsi="Times New Roman"/>
          <w:szCs w:val="28"/>
        </w:rPr>
        <w:t>项目总投资</w:t>
      </w:r>
      <w:bookmarkEnd w:id="254"/>
      <w:bookmarkEnd w:id="255"/>
      <w:bookmarkEnd w:id="256"/>
      <w:bookmarkEnd w:id="257"/>
      <w:bookmarkEnd w:id="258"/>
    </w:p>
    <w:p>
      <w:pPr>
        <w:ind w:firstLine="560"/>
        <w:rPr>
          <w:rFonts w:ascii="Times New Roman" w:hAnsi="Times New Roman"/>
          <w:szCs w:val="28"/>
        </w:rPr>
      </w:pPr>
      <w:bookmarkStart w:id="259" w:name="_Toc448074850"/>
      <w:bookmarkStart w:id="260" w:name="_Toc452106699"/>
      <w:r>
        <w:rPr>
          <w:rFonts w:ascii="Times New Roman" w:hAnsi="Times New Roman"/>
          <w:szCs w:val="28"/>
        </w:rPr>
        <w:t>参见“1.8 投资规模”。</w:t>
      </w:r>
    </w:p>
    <w:p>
      <w:pPr>
        <w:pStyle w:val="3"/>
        <w:spacing w:before="200" w:after="200" w:line="560" w:lineRule="exact"/>
        <w:ind w:firstLine="562"/>
        <w:jc w:val="left"/>
        <w:rPr>
          <w:rFonts w:ascii="Times New Roman" w:hAnsi="Times New Roman"/>
          <w:szCs w:val="28"/>
        </w:rPr>
      </w:pPr>
      <w:bookmarkStart w:id="261" w:name="_Toc28272"/>
      <w:bookmarkStart w:id="262" w:name="_Toc20295"/>
      <w:bookmarkStart w:id="263" w:name="_Toc21534"/>
      <w:bookmarkStart w:id="264" w:name="_Toc14301"/>
      <w:bookmarkStart w:id="265" w:name="_Toc8539"/>
      <w:bookmarkStart w:id="266" w:name="_Toc836"/>
      <w:bookmarkStart w:id="267" w:name="_Toc27314"/>
      <w:bookmarkStart w:id="268" w:name="_Toc8118"/>
      <w:bookmarkStart w:id="269" w:name="_Toc468088671"/>
      <w:bookmarkStart w:id="270" w:name="_Toc16462"/>
      <w:bookmarkStart w:id="271" w:name="_Toc13633"/>
      <w:bookmarkStart w:id="272" w:name="_Toc30294"/>
      <w:bookmarkStart w:id="273" w:name="_Toc23484"/>
      <w:r>
        <w:rPr>
          <w:rFonts w:ascii="Times New Roman" w:hAnsi="Times New Roman"/>
          <w:szCs w:val="28"/>
        </w:rPr>
        <w:t xml:space="preserve">8.2 </w:t>
      </w:r>
      <w:bookmarkEnd w:id="261"/>
      <w:bookmarkEnd w:id="262"/>
      <w:bookmarkEnd w:id="263"/>
      <w:bookmarkEnd w:id="264"/>
      <w:r>
        <w:rPr>
          <w:rFonts w:ascii="Times New Roman" w:hAnsi="Times New Roman"/>
          <w:szCs w:val="28"/>
        </w:rPr>
        <w:t>投融资方案</w:t>
      </w:r>
      <w:bookmarkEnd w:id="265"/>
      <w:bookmarkEnd w:id="266"/>
      <w:bookmarkEnd w:id="267"/>
      <w:bookmarkEnd w:id="268"/>
      <w:bookmarkEnd w:id="269"/>
      <w:bookmarkEnd w:id="270"/>
      <w:bookmarkEnd w:id="271"/>
      <w:bookmarkEnd w:id="272"/>
      <w:bookmarkEnd w:id="273"/>
    </w:p>
    <w:p>
      <w:pPr>
        <w:ind w:firstLine="560"/>
        <w:rPr>
          <w:rFonts w:ascii="Times New Roman" w:hAnsi="Times New Roman"/>
          <w:szCs w:val="28"/>
        </w:rPr>
      </w:pPr>
      <w:r>
        <w:rPr>
          <w:rFonts w:ascii="Times New Roman" w:hAnsi="Times New Roman"/>
          <w:szCs w:val="28"/>
        </w:rPr>
        <w:t>参见“4.1 投融资结构</w:t>
      </w:r>
      <w:bookmarkStart w:id="274" w:name="_Toc222"/>
      <w:bookmarkStart w:id="275" w:name="_Toc22960"/>
      <w:bookmarkStart w:id="276" w:name="_Toc2592"/>
      <w:bookmarkStart w:id="277" w:name="_Toc17626"/>
      <w:bookmarkStart w:id="278" w:name="_Toc22328"/>
      <w:bookmarkStart w:id="279" w:name="_Toc24764"/>
      <w:r>
        <w:rPr>
          <w:rFonts w:ascii="Times New Roman" w:hAnsi="Times New Roman"/>
          <w:szCs w:val="28"/>
        </w:rPr>
        <w:t>”。</w:t>
      </w:r>
    </w:p>
    <w:bookmarkEnd w:id="259"/>
    <w:bookmarkEnd w:id="260"/>
    <w:bookmarkEnd w:id="274"/>
    <w:bookmarkEnd w:id="275"/>
    <w:bookmarkEnd w:id="276"/>
    <w:bookmarkEnd w:id="277"/>
    <w:bookmarkEnd w:id="278"/>
    <w:bookmarkEnd w:id="279"/>
    <w:p>
      <w:pPr>
        <w:pStyle w:val="3"/>
        <w:spacing w:before="200" w:after="200" w:line="560" w:lineRule="exact"/>
        <w:ind w:firstLine="562"/>
        <w:jc w:val="left"/>
        <w:rPr>
          <w:rFonts w:ascii="Times New Roman" w:hAnsi="Times New Roman"/>
          <w:szCs w:val="28"/>
        </w:rPr>
      </w:pPr>
      <w:bookmarkStart w:id="280" w:name="_Toc32674"/>
      <w:bookmarkStart w:id="281" w:name="_Toc26463"/>
      <w:bookmarkStart w:id="282" w:name="_Toc32137"/>
      <w:bookmarkStart w:id="283" w:name="_Toc452106702"/>
      <w:bookmarkStart w:id="284" w:name="_Toc22958"/>
      <w:bookmarkStart w:id="285" w:name="_Toc448074856"/>
      <w:bookmarkStart w:id="286" w:name="_Toc468088672"/>
      <w:r>
        <w:rPr>
          <w:rFonts w:ascii="Times New Roman" w:hAnsi="Times New Roman"/>
          <w:szCs w:val="28"/>
        </w:rPr>
        <w:t>8.3 基本参数及假设条件</w:t>
      </w:r>
      <w:bookmarkEnd w:id="280"/>
      <w:bookmarkEnd w:id="281"/>
      <w:bookmarkEnd w:id="282"/>
      <w:bookmarkEnd w:id="283"/>
      <w:bookmarkEnd w:id="284"/>
      <w:bookmarkEnd w:id="285"/>
      <w:bookmarkEnd w:id="286"/>
    </w:p>
    <w:p>
      <w:pPr>
        <w:ind w:firstLine="560"/>
        <w:rPr>
          <w:rFonts w:ascii="仿宋_GB2312" w:hAnsi="仿宋_GB2312" w:eastAsia="仿宋_GB2312" w:cs="仿宋_GB2312"/>
          <w:color w:val="000000"/>
          <w:szCs w:val="28"/>
        </w:rPr>
      </w:pPr>
      <w:r>
        <w:rPr>
          <w:rFonts w:ascii="Times New Roman" w:hAnsi="Times New Roman"/>
          <w:color w:val="000000"/>
          <w:szCs w:val="28"/>
        </w:rPr>
        <w:t>根据政府对本项目的合作意愿，方案拟定</w:t>
      </w:r>
      <w:r>
        <w:rPr>
          <w:rFonts w:hint="eastAsia" w:ascii="Times New Roman" w:hAnsi="Times New Roman"/>
          <w:color w:val="000000"/>
          <w:szCs w:val="28"/>
        </w:rPr>
        <w:t>年度折现率</w:t>
      </w:r>
      <w:r>
        <w:rPr>
          <w:rFonts w:ascii="Times New Roman" w:hAnsi="Times New Roman"/>
          <w:color w:val="000000"/>
          <w:szCs w:val="28"/>
        </w:rPr>
        <w:t>、债务资金成本</w:t>
      </w:r>
      <w:r>
        <w:rPr>
          <w:rFonts w:hint="eastAsia" w:ascii="Times New Roman" w:hAnsi="Times New Roman"/>
          <w:color w:val="000000"/>
          <w:szCs w:val="28"/>
        </w:rPr>
        <w:t>、</w:t>
      </w:r>
      <w:r>
        <w:rPr>
          <w:rFonts w:ascii="Times New Roman" w:hAnsi="Times New Roman"/>
          <w:color w:val="000000"/>
          <w:szCs w:val="28"/>
        </w:rPr>
        <w:t>合理利润率等基本参数条件如下：</w:t>
      </w:r>
    </w:p>
    <w:p>
      <w:pPr>
        <w:pStyle w:val="4"/>
        <w:spacing w:before="160" w:after="160"/>
        <w:ind w:firstLine="562"/>
        <w:rPr>
          <w:rFonts w:ascii="Times New Roman" w:hAnsi="Times New Roman"/>
          <w:szCs w:val="28"/>
        </w:rPr>
      </w:pPr>
      <w:bookmarkStart w:id="287" w:name="_Toc26488"/>
      <w:bookmarkStart w:id="288" w:name="_Toc29034"/>
      <w:bookmarkStart w:id="289" w:name="_Toc10017"/>
      <w:bookmarkStart w:id="290" w:name="_Toc1827"/>
      <w:bookmarkStart w:id="291" w:name="_Toc468088673"/>
      <w:r>
        <w:rPr>
          <w:rFonts w:ascii="Times New Roman" w:hAnsi="Times New Roman"/>
          <w:szCs w:val="28"/>
        </w:rPr>
        <w:t xml:space="preserve">8.3.1 </w:t>
      </w:r>
      <w:bookmarkEnd w:id="287"/>
      <w:r>
        <w:rPr>
          <w:rFonts w:ascii="Times New Roman" w:hAnsi="Times New Roman"/>
          <w:szCs w:val="28"/>
        </w:rPr>
        <w:t>年</w:t>
      </w:r>
      <w:r>
        <w:rPr>
          <w:rFonts w:hint="eastAsia" w:ascii="Times New Roman" w:hAnsi="Times New Roman"/>
          <w:szCs w:val="28"/>
        </w:rPr>
        <w:t>度</w:t>
      </w:r>
      <w:r>
        <w:rPr>
          <w:rFonts w:ascii="Times New Roman" w:hAnsi="Times New Roman"/>
          <w:szCs w:val="28"/>
        </w:rPr>
        <w:t>折现率</w:t>
      </w:r>
      <w:bookmarkEnd w:id="288"/>
      <w:bookmarkEnd w:id="289"/>
      <w:bookmarkEnd w:id="290"/>
      <w:bookmarkEnd w:id="291"/>
    </w:p>
    <w:p>
      <w:pPr>
        <w:ind w:firstLine="560"/>
        <w:rPr>
          <w:rFonts w:ascii="Times New Roman" w:hAnsi="Times New Roman"/>
          <w:szCs w:val="28"/>
        </w:rPr>
      </w:pPr>
      <w:r>
        <w:rPr>
          <w:rFonts w:ascii="Times New Roman" w:hAnsi="Times New Roman"/>
          <w:szCs w:val="28"/>
        </w:rPr>
        <w:t>年度折现率参照同期地方政府债券收益率+风险报酬率考虑，本项目财务测算年度折现率按</w:t>
      </w:r>
      <w:r>
        <w:rPr>
          <w:rFonts w:hint="eastAsia" w:ascii="Times New Roman" w:hAnsi="Times New Roman"/>
          <w:szCs w:val="28"/>
        </w:rPr>
        <w:t>6</w:t>
      </w:r>
      <w:r>
        <w:rPr>
          <w:rFonts w:ascii="Times New Roman" w:hAnsi="Times New Roman"/>
          <w:szCs w:val="28"/>
        </w:rPr>
        <w:t>%计算。</w:t>
      </w:r>
    </w:p>
    <w:p>
      <w:pPr>
        <w:pStyle w:val="4"/>
        <w:spacing w:before="160" w:after="160"/>
        <w:ind w:firstLine="562"/>
        <w:rPr>
          <w:rFonts w:ascii="Times New Roman" w:hAnsi="Times New Roman"/>
          <w:szCs w:val="28"/>
        </w:rPr>
      </w:pPr>
      <w:bookmarkStart w:id="292" w:name="_Toc468088674"/>
      <w:bookmarkStart w:id="293" w:name="_Toc2177"/>
      <w:bookmarkStart w:id="294" w:name="_Toc26595"/>
      <w:bookmarkStart w:id="295" w:name="_Toc23389"/>
      <w:r>
        <w:rPr>
          <w:rFonts w:ascii="Times New Roman" w:hAnsi="Times New Roman"/>
          <w:szCs w:val="28"/>
        </w:rPr>
        <w:t>8.3.2 债务资金成本</w:t>
      </w:r>
      <w:bookmarkEnd w:id="292"/>
      <w:bookmarkEnd w:id="293"/>
      <w:bookmarkEnd w:id="294"/>
      <w:bookmarkEnd w:id="295"/>
    </w:p>
    <w:p>
      <w:pPr>
        <w:ind w:firstLine="560"/>
        <w:rPr>
          <w:rFonts w:ascii="Times New Roman" w:hAnsi="Times New Roman"/>
          <w:szCs w:val="28"/>
        </w:rPr>
      </w:pPr>
      <w:r>
        <w:rPr>
          <w:rFonts w:ascii="Times New Roman" w:hAnsi="Times New Roman"/>
          <w:szCs w:val="28"/>
        </w:rPr>
        <w:t>债务资金成本按</w:t>
      </w:r>
      <w:r>
        <w:rPr>
          <w:rFonts w:hint="eastAsia" w:ascii="Times New Roman" w:hAnsi="Times New Roman"/>
          <w:szCs w:val="28"/>
        </w:rPr>
        <w:t>5.5%</w:t>
      </w:r>
      <w:r>
        <w:rPr>
          <w:rFonts w:ascii="Times New Roman" w:hAnsi="Times New Roman"/>
          <w:szCs w:val="28"/>
        </w:rPr>
        <w:t>测算，还款方式按等额本息计算。</w:t>
      </w:r>
    </w:p>
    <w:p>
      <w:pPr>
        <w:pStyle w:val="4"/>
        <w:spacing w:before="160" w:after="160"/>
        <w:ind w:firstLine="562"/>
        <w:rPr>
          <w:rFonts w:ascii="Times New Roman" w:hAnsi="Times New Roman"/>
          <w:szCs w:val="28"/>
        </w:rPr>
      </w:pPr>
      <w:bookmarkStart w:id="296" w:name="_Toc17360"/>
      <w:bookmarkStart w:id="297" w:name="_Toc16679"/>
      <w:bookmarkStart w:id="298" w:name="_Toc468088675"/>
      <w:bookmarkStart w:id="299" w:name="_Toc27833"/>
      <w:bookmarkStart w:id="300" w:name="_Toc448074859"/>
      <w:bookmarkStart w:id="301" w:name="_Toc1001"/>
      <w:r>
        <w:rPr>
          <w:rFonts w:ascii="Times New Roman" w:hAnsi="Times New Roman"/>
          <w:szCs w:val="28"/>
        </w:rPr>
        <w:t>8.3.3 合理利润率</w:t>
      </w:r>
      <w:bookmarkEnd w:id="296"/>
      <w:bookmarkEnd w:id="297"/>
      <w:bookmarkEnd w:id="298"/>
      <w:bookmarkEnd w:id="299"/>
      <w:bookmarkEnd w:id="300"/>
      <w:bookmarkEnd w:id="301"/>
    </w:p>
    <w:p>
      <w:pPr>
        <w:ind w:firstLine="560"/>
        <w:rPr>
          <w:rFonts w:ascii="Times New Roman" w:hAnsi="Times New Roman"/>
          <w:szCs w:val="28"/>
        </w:rPr>
      </w:pPr>
      <w:r>
        <w:rPr>
          <w:rFonts w:ascii="Times New Roman" w:hAnsi="Times New Roman"/>
          <w:szCs w:val="28"/>
        </w:rPr>
        <w:t xml:space="preserve">合理利润率以中国人民银行同期五年以上贷款基准利率水平为基准，充分考虑项目经营状况和财政补贴支出情景，结合风险等因素按7%测算。 </w:t>
      </w:r>
    </w:p>
    <w:p>
      <w:pPr>
        <w:pStyle w:val="3"/>
        <w:spacing w:before="200" w:after="200" w:line="560" w:lineRule="exact"/>
        <w:ind w:firstLine="562"/>
        <w:jc w:val="left"/>
        <w:rPr>
          <w:rFonts w:ascii="Times New Roman" w:hAnsi="Times New Roman"/>
          <w:szCs w:val="28"/>
        </w:rPr>
      </w:pPr>
      <w:bookmarkStart w:id="302" w:name="_Toc452106703"/>
      <w:bookmarkStart w:id="303" w:name="_Toc448074873"/>
      <w:bookmarkStart w:id="304" w:name="_Toc14814"/>
      <w:bookmarkStart w:id="305" w:name="_Toc6551"/>
      <w:bookmarkStart w:id="306" w:name="_Toc468088676"/>
      <w:bookmarkStart w:id="307" w:name="_Toc2005"/>
      <w:bookmarkStart w:id="308" w:name="_Toc12781"/>
      <w:bookmarkStart w:id="309" w:name="_Toc448074867"/>
      <w:bookmarkStart w:id="310" w:name="_Toc452106704"/>
      <w:r>
        <w:rPr>
          <w:rFonts w:ascii="Times New Roman" w:hAnsi="Times New Roman"/>
          <w:szCs w:val="28"/>
        </w:rPr>
        <w:t xml:space="preserve">8.4 </w:t>
      </w:r>
      <w:bookmarkEnd w:id="302"/>
      <w:bookmarkEnd w:id="303"/>
      <w:r>
        <w:rPr>
          <w:rFonts w:ascii="Times New Roman" w:hAnsi="Times New Roman"/>
          <w:szCs w:val="28"/>
        </w:rPr>
        <w:t>收入测算</w:t>
      </w:r>
      <w:bookmarkEnd w:id="304"/>
      <w:bookmarkEnd w:id="305"/>
      <w:bookmarkEnd w:id="306"/>
      <w:bookmarkEnd w:id="307"/>
      <w:bookmarkEnd w:id="308"/>
    </w:p>
    <w:p>
      <w:pPr>
        <w:pStyle w:val="4"/>
        <w:spacing w:before="160" w:after="160"/>
        <w:ind w:firstLine="562"/>
        <w:rPr>
          <w:rFonts w:ascii="Times New Roman" w:hAnsi="Times New Roman"/>
          <w:szCs w:val="28"/>
        </w:rPr>
      </w:pPr>
      <w:bookmarkStart w:id="311" w:name="_Toc8954"/>
      <w:bookmarkStart w:id="312" w:name="_Toc13608"/>
      <w:bookmarkStart w:id="313" w:name="_Toc468088677"/>
      <w:bookmarkStart w:id="314" w:name="_Toc6023"/>
      <w:bookmarkStart w:id="315" w:name="_Toc19450"/>
      <w:r>
        <w:rPr>
          <w:rFonts w:ascii="Times New Roman" w:hAnsi="Times New Roman"/>
          <w:szCs w:val="28"/>
        </w:rPr>
        <w:t xml:space="preserve">8.4.1 </w:t>
      </w:r>
      <w:bookmarkEnd w:id="311"/>
      <w:r>
        <w:rPr>
          <w:rFonts w:ascii="Times New Roman" w:hAnsi="Times New Roman"/>
          <w:szCs w:val="28"/>
        </w:rPr>
        <w:t>产出能力</w:t>
      </w:r>
      <w:bookmarkEnd w:id="312"/>
      <w:bookmarkEnd w:id="313"/>
      <w:bookmarkEnd w:id="314"/>
      <w:bookmarkEnd w:id="315"/>
    </w:p>
    <w:p>
      <w:pPr>
        <w:ind w:firstLine="560"/>
        <w:rPr>
          <w:rFonts w:ascii="Times New Roman" w:hAnsi="Times New Roman"/>
          <w:szCs w:val="28"/>
        </w:rPr>
      </w:pPr>
      <w:r>
        <w:rPr>
          <w:rFonts w:ascii="Times New Roman" w:hAnsi="Times New Roman"/>
          <w:szCs w:val="28"/>
        </w:rPr>
        <w:t>初始运营能力：储备粮3.</w:t>
      </w:r>
      <w:r>
        <w:rPr>
          <w:rFonts w:hint="eastAsia" w:ascii="Times New Roman" w:hAnsi="Times New Roman"/>
          <w:szCs w:val="28"/>
        </w:rPr>
        <w:t>62</w:t>
      </w:r>
      <w:r>
        <w:rPr>
          <w:rFonts w:ascii="Times New Roman" w:hAnsi="Times New Roman"/>
          <w:szCs w:val="28"/>
        </w:rPr>
        <w:t>万吨/年；储备油罐仓储0.</w:t>
      </w:r>
      <w:r>
        <w:rPr>
          <w:rFonts w:hint="eastAsia" w:ascii="Times New Roman" w:hAnsi="Times New Roman"/>
          <w:szCs w:val="28"/>
        </w:rPr>
        <w:t>15</w:t>
      </w:r>
      <w:r>
        <w:rPr>
          <w:rFonts w:ascii="Times New Roman" w:hAnsi="Times New Roman"/>
          <w:szCs w:val="28"/>
        </w:rPr>
        <w:t>万吨/年；低温仓成品粮0.</w:t>
      </w:r>
      <w:r>
        <w:rPr>
          <w:rFonts w:hint="eastAsia" w:ascii="Times New Roman" w:hAnsi="Times New Roman"/>
          <w:szCs w:val="28"/>
        </w:rPr>
        <w:t>2</w:t>
      </w:r>
      <w:r>
        <w:rPr>
          <w:rFonts w:ascii="Times New Roman" w:hAnsi="Times New Roman"/>
          <w:szCs w:val="28"/>
        </w:rPr>
        <w:t>万吨/年；大米加工及销售为1.00万吨/年、谷糠及副产品为0.42万吨/年；仓库出租率80%，商铺出租率60%（考虑到目前项目周边相关配套设施不完善，商业出租潜力尚待开发，运营期初商铺出租率不高，故运营期前五年不考虑商铺出租收入，第六年按出租率60%测算）。</w:t>
      </w:r>
    </w:p>
    <w:p>
      <w:pPr>
        <w:ind w:firstLine="560"/>
        <w:rPr>
          <w:rFonts w:ascii="Times New Roman" w:hAnsi="Times New Roman"/>
          <w:szCs w:val="28"/>
        </w:rPr>
      </w:pPr>
      <w:r>
        <w:rPr>
          <w:rFonts w:ascii="Times New Roman" w:hAnsi="Times New Roman"/>
          <w:szCs w:val="28"/>
        </w:rPr>
        <w:t>运营能力涨幅：大米加工及销售、谷糠及副产品按每5年递增5%测算；仓库出租、临街商铺出租按逐年递增5%，出租率达到95%时不再增长。</w:t>
      </w:r>
    </w:p>
    <w:p>
      <w:pPr>
        <w:ind w:firstLine="560"/>
        <w:rPr>
          <w:rFonts w:ascii="Times New Roman" w:hAnsi="Times New Roman"/>
          <w:szCs w:val="28"/>
        </w:rPr>
      </w:pPr>
      <w:r>
        <w:rPr>
          <w:rFonts w:ascii="Times New Roman" w:hAnsi="Times New Roman"/>
          <w:szCs w:val="28"/>
        </w:rPr>
        <w:t>达产产能：大米加工及销售为1.15万吨/年、谷糠及副产品为0.49万吨/年，储备粮保管为6.</w:t>
      </w:r>
      <w:r>
        <w:rPr>
          <w:rFonts w:hint="eastAsia" w:ascii="Times New Roman" w:hAnsi="Times New Roman"/>
          <w:szCs w:val="28"/>
        </w:rPr>
        <w:t>62</w:t>
      </w:r>
      <w:r>
        <w:rPr>
          <w:rFonts w:ascii="Times New Roman" w:hAnsi="Times New Roman"/>
          <w:szCs w:val="28"/>
        </w:rPr>
        <w:t>万吨/年。</w:t>
      </w:r>
    </w:p>
    <w:p>
      <w:pPr>
        <w:pStyle w:val="4"/>
        <w:spacing w:before="160" w:after="160"/>
        <w:ind w:firstLine="562"/>
        <w:rPr>
          <w:rFonts w:ascii="Times New Roman" w:hAnsi="Times New Roman"/>
          <w:szCs w:val="28"/>
        </w:rPr>
      </w:pPr>
      <w:bookmarkStart w:id="316" w:name="_Toc20571"/>
      <w:bookmarkStart w:id="317" w:name="_Toc18216"/>
      <w:bookmarkStart w:id="318" w:name="_Toc25653"/>
      <w:bookmarkStart w:id="319" w:name="_Toc26124"/>
      <w:bookmarkStart w:id="320" w:name="_Toc4801"/>
      <w:bookmarkStart w:id="321" w:name="_Toc468088678"/>
      <w:bookmarkStart w:id="322" w:name="_Toc448074875"/>
      <w:r>
        <w:rPr>
          <w:rFonts w:ascii="Times New Roman" w:hAnsi="Times New Roman"/>
          <w:szCs w:val="28"/>
        </w:rPr>
        <w:t>8.4.2 收费标准</w:t>
      </w:r>
      <w:bookmarkEnd w:id="316"/>
      <w:bookmarkEnd w:id="317"/>
      <w:bookmarkEnd w:id="318"/>
      <w:bookmarkEnd w:id="319"/>
      <w:bookmarkEnd w:id="320"/>
      <w:bookmarkEnd w:id="321"/>
    </w:p>
    <w:p>
      <w:pPr>
        <w:ind w:firstLine="560"/>
        <w:rPr>
          <w:rFonts w:ascii="Times New Roman" w:hAnsi="Times New Roman"/>
          <w:szCs w:val="28"/>
        </w:rPr>
      </w:pPr>
      <w:r>
        <w:rPr>
          <w:rFonts w:ascii="Times New Roman" w:hAnsi="Times New Roman"/>
          <w:szCs w:val="28"/>
        </w:rPr>
        <w:t>初始价格：储备粮保管180元/吨，储备油罐仓储400元/吨，低温仓成品粮200元/吨；仓库出租120元/平米/年，临街商铺出租300元/平米/年。大米加工及销售、谷糠及副产品初始含税净收入按142万元/年测算。</w:t>
      </w:r>
    </w:p>
    <w:p>
      <w:pPr>
        <w:ind w:firstLine="560"/>
        <w:rPr>
          <w:rFonts w:ascii="Times New Roman" w:hAnsi="Times New Roman"/>
          <w:szCs w:val="28"/>
        </w:rPr>
      </w:pPr>
      <w:r>
        <w:rPr>
          <w:rFonts w:ascii="Times New Roman" w:hAnsi="Times New Roman"/>
          <w:szCs w:val="28"/>
        </w:rPr>
        <w:t>价格涨幅：仓库出租、临街商铺出租价格按每5年增长20%测算；粮油储备价格按不调价测算。</w:t>
      </w:r>
    </w:p>
    <w:p>
      <w:pPr>
        <w:pStyle w:val="4"/>
        <w:spacing w:before="160" w:after="160"/>
        <w:ind w:firstLine="562"/>
        <w:rPr>
          <w:rFonts w:ascii="Times New Roman" w:hAnsi="Times New Roman"/>
          <w:szCs w:val="28"/>
        </w:rPr>
      </w:pPr>
      <w:bookmarkStart w:id="323" w:name="_Toc21108"/>
      <w:bookmarkStart w:id="324" w:name="_Toc27327"/>
      <w:bookmarkStart w:id="325" w:name="_Toc6923"/>
      <w:bookmarkStart w:id="326" w:name="_Toc31163"/>
      <w:bookmarkStart w:id="327" w:name="_Toc24209"/>
      <w:bookmarkStart w:id="328" w:name="_Toc468088679"/>
      <w:r>
        <w:rPr>
          <w:rFonts w:ascii="Times New Roman" w:hAnsi="Times New Roman"/>
          <w:szCs w:val="28"/>
        </w:rPr>
        <w:t>8.4.3 运营收入</w:t>
      </w:r>
      <w:bookmarkEnd w:id="323"/>
      <w:bookmarkEnd w:id="324"/>
      <w:bookmarkEnd w:id="325"/>
      <w:bookmarkEnd w:id="326"/>
      <w:bookmarkEnd w:id="327"/>
      <w:bookmarkEnd w:id="328"/>
    </w:p>
    <w:p>
      <w:pPr>
        <w:ind w:firstLine="560"/>
        <w:rPr>
          <w:rFonts w:ascii="Times New Roman" w:hAnsi="Times New Roman"/>
          <w:szCs w:val="28"/>
        </w:rPr>
      </w:pPr>
      <w:r>
        <w:rPr>
          <w:rFonts w:ascii="Times New Roman" w:hAnsi="Times New Roman"/>
          <w:szCs w:val="28"/>
        </w:rPr>
        <w:t>测算特许经营期内累计经营收入</w:t>
      </w:r>
      <w:r>
        <w:rPr>
          <w:rFonts w:hint="eastAsia" w:ascii="Times New Roman" w:hAnsi="Times New Roman"/>
          <w:szCs w:val="28"/>
        </w:rPr>
        <w:t>30742.67</w:t>
      </w:r>
      <w:r>
        <w:rPr>
          <w:rFonts w:ascii="Times New Roman" w:hAnsi="Times New Roman"/>
          <w:szCs w:val="28"/>
        </w:rPr>
        <w:t>万元</w:t>
      </w:r>
      <w:r>
        <w:rPr>
          <w:rFonts w:hint="eastAsia" w:ascii="Times New Roman" w:hAnsi="Times New Roman"/>
          <w:szCs w:val="28"/>
        </w:rPr>
        <w:t>。</w:t>
      </w:r>
      <w:r>
        <w:rPr>
          <w:rFonts w:ascii="Times New Roman" w:hAnsi="Times New Roman"/>
          <w:szCs w:val="28"/>
        </w:rPr>
        <w:t>其中储备粮保管收入</w:t>
      </w:r>
      <w:r>
        <w:rPr>
          <w:rFonts w:hint="eastAsia" w:ascii="Times New Roman" w:hAnsi="Times New Roman"/>
          <w:szCs w:val="28"/>
        </w:rPr>
        <w:t>18432.00</w:t>
      </w:r>
      <w:r>
        <w:rPr>
          <w:rFonts w:ascii="Times New Roman" w:hAnsi="Times New Roman"/>
          <w:szCs w:val="28"/>
        </w:rPr>
        <w:t>万元，储备油罐仓储收入</w:t>
      </w:r>
      <w:r>
        <w:rPr>
          <w:rFonts w:hint="eastAsia" w:ascii="Times New Roman" w:hAnsi="Times New Roman"/>
          <w:szCs w:val="28"/>
        </w:rPr>
        <w:t>12</w:t>
      </w:r>
      <w:r>
        <w:rPr>
          <w:rFonts w:ascii="Times New Roman" w:hAnsi="Times New Roman"/>
          <w:szCs w:val="28"/>
        </w:rPr>
        <w:t>00.00万元，低温仓成品粮收入</w:t>
      </w:r>
      <w:r>
        <w:rPr>
          <w:rFonts w:hint="eastAsia" w:ascii="Times New Roman" w:hAnsi="Times New Roman"/>
          <w:szCs w:val="28"/>
        </w:rPr>
        <w:t>8</w:t>
      </w:r>
      <w:r>
        <w:rPr>
          <w:rFonts w:ascii="Times New Roman" w:hAnsi="Times New Roman"/>
          <w:szCs w:val="28"/>
        </w:rPr>
        <w:t>00.00万元，仓库出租含税净收入2706.86万元，商铺出租含税净收入4296.51万元，粮食加工及销售含税净收入3307.30万元</w:t>
      </w:r>
      <w:r>
        <w:rPr>
          <w:rFonts w:hint="eastAsia" w:ascii="Times New Roman" w:hAnsi="Times New Roman"/>
          <w:szCs w:val="28"/>
        </w:rPr>
        <w:t>。</w:t>
      </w:r>
      <w:r>
        <w:rPr>
          <w:rFonts w:ascii="Times New Roman" w:hAnsi="Times New Roman"/>
          <w:szCs w:val="28"/>
        </w:rPr>
        <w:t>各年度总经营收入如下表：</w:t>
      </w:r>
    </w:p>
    <w:p>
      <w:pPr>
        <w:pStyle w:val="82"/>
      </w:pPr>
      <w:r>
        <w:t>经营收入测算表</w:t>
      </w:r>
    </w:p>
    <w:tbl>
      <w:tblPr>
        <w:tblStyle w:val="22"/>
        <w:tblW w:w="8342" w:type="dxa"/>
        <w:jc w:val="center"/>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834"/>
        <w:gridCol w:w="834"/>
        <w:gridCol w:w="834"/>
        <w:gridCol w:w="834"/>
        <w:gridCol w:w="835"/>
        <w:gridCol w:w="834"/>
        <w:gridCol w:w="834"/>
        <w:gridCol w:w="834"/>
        <w:gridCol w:w="834"/>
        <w:gridCol w:w="835"/>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834" w:type="dxa"/>
            <w:tcBorders>
              <w:top w:val="double" w:color="000000" w:sz="4" w:space="0"/>
            </w:tcBorders>
            <w:shd w:val="clear" w:color="auto" w:fill="FFFFFF"/>
            <w:vAlign w:val="center"/>
          </w:tcPr>
          <w:p>
            <w:pPr>
              <w:pStyle w:val="88"/>
            </w:pPr>
            <w:r>
              <w:t>2018年</w:t>
            </w:r>
          </w:p>
        </w:tc>
        <w:tc>
          <w:tcPr>
            <w:tcW w:w="834" w:type="dxa"/>
            <w:tcBorders>
              <w:top w:val="double" w:color="000000" w:sz="4" w:space="0"/>
            </w:tcBorders>
            <w:shd w:val="clear" w:color="auto" w:fill="FFFFFF"/>
            <w:vAlign w:val="center"/>
          </w:tcPr>
          <w:p>
            <w:pPr>
              <w:pStyle w:val="88"/>
            </w:pPr>
            <w:r>
              <w:t>2019年</w:t>
            </w:r>
          </w:p>
        </w:tc>
        <w:tc>
          <w:tcPr>
            <w:tcW w:w="834" w:type="dxa"/>
            <w:tcBorders>
              <w:top w:val="double" w:color="000000" w:sz="4" w:space="0"/>
            </w:tcBorders>
            <w:shd w:val="clear" w:color="auto" w:fill="FFFFFF"/>
            <w:vAlign w:val="center"/>
          </w:tcPr>
          <w:p>
            <w:pPr>
              <w:pStyle w:val="88"/>
            </w:pPr>
            <w:r>
              <w:t>2020年</w:t>
            </w:r>
          </w:p>
        </w:tc>
        <w:tc>
          <w:tcPr>
            <w:tcW w:w="834" w:type="dxa"/>
            <w:tcBorders>
              <w:top w:val="double" w:color="000000" w:sz="4" w:space="0"/>
            </w:tcBorders>
            <w:shd w:val="clear" w:color="auto" w:fill="FFFFFF"/>
            <w:vAlign w:val="center"/>
          </w:tcPr>
          <w:p>
            <w:pPr>
              <w:pStyle w:val="88"/>
            </w:pPr>
            <w:r>
              <w:t>2021年</w:t>
            </w:r>
          </w:p>
        </w:tc>
        <w:tc>
          <w:tcPr>
            <w:tcW w:w="835" w:type="dxa"/>
            <w:tcBorders>
              <w:top w:val="double" w:color="000000" w:sz="4" w:space="0"/>
            </w:tcBorders>
            <w:shd w:val="clear" w:color="auto" w:fill="FFFFFF"/>
            <w:vAlign w:val="center"/>
          </w:tcPr>
          <w:p>
            <w:pPr>
              <w:pStyle w:val="88"/>
            </w:pPr>
            <w:r>
              <w:t>2022年</w:t>
            </w:r>
          </w:p>
        </w:tc>
        <w:tc>
          <w:tcPr>
            <w:tcW w:w="834" w:type="dxa"/>
            <w:tcBorders>
              <w:top w:val="double" w:color="000000" w:sz="4" w:space="0"/>
            </w:tcBorders>
            <w:shd w:val="clear" w:color="auto" w:fill="FFFFFF"/>
            <w:vAlign w:val="center"/>
          </w:tcPr>
          <w:p>
            <w:pPr>
              <w:pStyle w:val="88"/>
            </w:pPr>
            <w:r>
              <w:t>2023年</w:t>
            </w:r>
          </w:p>
        </w:tc>
        <w:tc>
          <w:tcPr>
            <w:tcW w:w="834" w:type="dxa"/>
            <w:tcBorders>
              <w:top w:val="double" w:color="000000" w:sz="4" w:space="0"/>
            </w:tcBorders>
            <w:shd w:val="clear" w:color="auto" w:fill="FFFFFF"/>
            <w:vAlign w:val="center"/>
          </w:tcPr>
          <w:p>
            <w:pPr>
              <w:pStyle w:val="88"/>
            </w:pPr>
            <w:r>
              <w:t>2024年</w:t>
            </w:r>
          </w:p>
        </w:tc>
        <w:tc>
          <w:tcPr>
            <w:tcW w:w="834" w:type="dxa"/>
            <w:tcBorders>
              <w:top w:val="double" w:color="000000" w:sz="4" w:space="0"/>
            </w:tcBorders>
            <w:shd w:val="clear" w:color="auto" w:fill="FFFFFF"/>
            <w:vAlign w:val="center"/>
          </w:tcPr>
          <w:p>
            <w:pPr>
              <w:pStyle w:val="88"/>
            </w:pPr>
            <w:r>
              <w:t>2025年</w:t>
            </w:r>
          </w:p>
        </w:tc>
        <w:tc>
          <w:tcPr>
            <w:tcW w:w="834" w:type="dxa"/>
            <w:tcBorders>
              <w:top w:val="double" w:color="000000" w:sz="4" w:space="0"/>
            </w:tcBorders>
            <w:shd w:val="clear" w:color="auto" w:fill="FFFFFF"/>
            <w:vAlign w:val="center"/>
          </w:tcPr>
          <w:p>
            <w:pPr>
              <w:pStyle w:val="88"/>
            </w:pPr>
            <w:r>
              <w:t>2026年</w:t>
            </w:r>
          </w:p>
        </w:tc>
        <w:tc>
          <w:tcPr>
            <w:tcW w:w="835" w:type="dxa"/>
            <w:tcBorders>
              <w:top w:val="double" w:color="000000" w:sz="4" w:space="0"/>
            </w:tcBorders>
            <w:shd w:val="clear" w:color="auto" w:fill="FFFFFF"/>
            <w:vAlign w:val="center"/>
          </w:tcPr>
          <w:p>
            <w:pPr>
              <w:pStyle w:val="88"/>
            </w:pPr>
            <w:r>
              <w:t>2027年</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834" w:type="dxa"/>
            <w:shd w:val="clear" w:color="auto" w:fill="FFFFFF"/>
            <w:vAlign w:val="center"/>
          </w:tcPr>
          <w:p>
            <w:pPr>
              <w:pStyle w:val="88"/>
            </w:pPr>
            <w:r>
              <w:t xml:space="preserve">979.71 </w:t>
            </w:r>
          </w:p>
        </w:tc>
        <w:tc>
          <w:tcPr>
            <w:tcW w:w="834" w:type="dxa"/>
            <w:shd w:val="clear" w:color="auto" w:fill="FFFFFF"/>
            <w:vAlign w:val="center"/>
          </w:tcPr>
          <w:p>
            <w:pPr>
              <w:pStyle w:val="88"/>
            </w:pPr>
            <w:r>
              <w:t xml:space="preserve">984.02 </w:t>
            </w:r>
          </w:p>
        </w:tc>
        <w:tc>
          <w:tcPr>
            <w:tcW w:w="834" w:type="dxa"/>
            <w:shd w:val="clear" w:color="auto" w:fill="FFFFFF"/>
            <w:vAlign w:val="center"/>
          </w:tcPr>
          <w:p>
            <w:pPr>
              <w:pStyle w:val="88"/>
            </w:pPr>
            <w:r>
              <w:t xml:space="preserve">988.54 </w:t>
            </w:r>
          </w:p>
        </w:tc>
        <w:tc>
          <w:tcPr>
            <w:tcW w:w="834" w:type="dxa"/>
            <w:shd w:val="clear" w:color="auto" w:fill="FFFFFF"/>
            <w:vAlign w:val="center"/>
          </w:tcPr>
          <w:p>
            <w:pPr>
              <w:pStyle w:val="88"/>
            </w:pPr>
            <w:r>
              <w:t xml:space="preserve">993.28 </w:t>
            </w:r>
          </w:p>
        </w:tc>
        <w:tc>
          <w:tcPr>
            <w:tcW w:w="835" w:type="dxa"/>
            <w:shd w:val="clear" w:color="auto" w:fill="FFFFFF"/>
            <w:vAlign w:val="center"/>
          </w:tcPr>
          <w:p>
            <w:pPr>
              <w:pStyle w:val="88"/>
            </w:pPr>
            <w:r>
              <w:t xml:space="preserve">995.86 </w:t>
            </w:r>
          </w:p>
        </w:tc>
        <w:tc>
          <w:tcPr>
            <w:tcW w:w="834" w:type="dxa"/>
            <w:shd w:val="clear" w:color="auto" w:fill="FFFFFF"/>
            <w:vAlign w:val="center"/>
          </w:tcPr>
          <w:p>
            <w:pPr>
              <w:pStyle w:val="88"/>
            </w:pPr>
            <w:r>
              <w:t xml:space="preserve">1380.11 </w:t>
            </w:r>
          </w:p>
        </w:tc>
        <w:tc>
          <w:tcPr>
            <w:tcW w:w="834" w:type="dxa"/>
            <w:shd w:val="clear" w:color="auto" w:fill="FFFFFF"/>
            <w:vAlign w:val="center"/>
          </w:tcPr>
          <w:p>
            <w:pPr>
              <w:pStyle w:val="88"/>
            </w:pPr>
            <w:r>
              <w:t xml:space="preserve">1388.57 </w:t>
            </w:r>
          </w:p>
        </w:tc>
        <w:tc>
          <w:tcPr>
            <w:tcW w:w="834" w:type="dxa"/>
            <w:shd w:val="clear" w:color="auto" w:fill="FFFFFF"/>
            <w:vAlign w:val="center"/>
          </w:tcPr>
          <w:p>
            <w:pPr>
              <w:pStyle w:val="88"/>
            </w:pPr>
            <w:r>
              <w:t xml:space="preserve">1397.45 </w:t>
            </w:r>
          </w:p>
        </w:tc>
        <w:tc>
          <w:tcPr>
            <w:tcW w:w="834" w:type="dxa"/>
            <w:shd w:val="clear" w:color="auto" w:fill="FFFFFF"/>
            <w:vAlign w:val="center"/>
          </w:tcPr>
          <w:p>
            <w:pPr>
              <w:pStyle w:val="88"/>
            </w:pPr>
            <w:r>
              <w:t xml:space="preserve">1406.78 </w:t>
            </w:r>
          </w:p>
        </w:tc>
        <w:tc>
          <w:tcPr>
            <w:tcW w:w="835" w:type="dxa"/>
            <w:shd w:val="clear" w:color="auto" w:fill="FFFFFF"/>
            <w:vAlign w:val="center"/>
          </w:tcPr>
          <w:p>
            <w:pPr>
              <w:pStyle w:val="88"/>
            </w:pPr>
            <w:r>
              <w:t xml:space="preserve">1416.59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834" w:type="dxa"/>
            <w:shd w:val="clear" w:color="auto" w:fill="FFFFFF"/>
            <w:vAlign w:val="center"/>
          </w:tcPr>
          <w:p>
            <w:pPr>
              <w:pStyle w:val="88"/>
            </w:pPr>
            <w:r>
              <w:t>2028年</w:t>
            </w:r>
          </w:p>
        </w:tc>
        <w:tc>
          <w:tcPr>
            <w:tcW w:w="834" w:type="dxa"/>
            <w:shd w:val="clear" w:color="auto" w:fill="FFFFFF"/>
            <w:vAlign w:val="center"/>
          </w:tcPr>
          <w:p>
            <w:pPr>
              <w:pStyle w:val="88"/>
            </w:pPr>
            <w:r>
              <w:t>2029年</w:t>
            </w:r>
          </w:p>
        </w:tc>
        <w:tc>
          <w:tcPr>
            <w:tcW w:w="834" w:type="dxa"/>
            <w:shd w:val="clear" w:color="auto" w:fill="FFFFFF"/>
            <w:vAlign w:val="center"/>
          </w:tcPr>
          <w:p>
            <w:pPr>
              <w:pStyle w:val="88"/>
            </w:pPr>
            <w:r>
              <w:t>2030年</w:t>
            </w:r>
          </w:p>
        </w:tc>
        <w:tc>
          <w:tcPr>
            <w:tcW w:w="834" w:type="dxa"/>
            <w:shd w:val="clear" w:color="auto" w:fill="FFFFFF"/>
            <w:vAlign w:val="center"/>
          </w:tcPr>
          <w:p>
            <w:pPr>
              <w:pStyle w:val="88"/>
            </w:pPr>
            <w:r>
              <w:t>2031年</w:t>
            </w:r>
          </w:p>
        </w:tc>
        <w:tc>
          <w:tcPr>
            <w:tcW w:w="835" w:type="dxa"/>
            <w:shd w:val="clear" w:color="auto" w:fill="FFFFFF"/>
            <w:vAlign w:val="center"/>
          </w:tcPr>
          <w:p>
            <w:pPr>
              <w:pStyle w:val="88"/>
            </w:pPr>
            <w:r>
              <w:t>2032年</w:t>
            </w:r>
          </w:p>
        </w:tc>
        <w:tc>
          <w:tcPr>
            <w:tcW w:w="834" w:type="dxa"/>
            <w:shd w:val="clear" w:color="auto" w:fill="FFFFFF"/>
            <w:vAlign w:val="center"/>
          </w:tcPr>
          <w:p>
            <w:pPr>
              <w:pStyle w:val="88"/>
            </w:pPr>
            <w:r>
              <w:t>2033年</w:t>
            </w:r>
          </w:p>
        </w:tc>
        <w:tc>
          <w:tcPr>
            <w:tcW w:w="834" w:type="dxa"/>
            <w:shd w:val="clear" w:color="auto" w:fill="FFFFFF"/>
            <w:vAlign w:val="center"/>
          </w:tcPr>
          <w:p>
            <w:pPr>
              <w:pStyle w:val="88"/>
            </w:pPr>
            <w:r>
              <w:t>2034年</w:t>
            </w:r>
          </w:p>
        </w:tc>
        <w:tc>
          <w:tcPr>
            <w:tcW w:w="834" w:type="dxa"/>
            <w:shd w:val="clear" w:color="auto" w:fill="FFFFFF"/>
            <w:vAlign w:val="center"/>
          </w:tcPr>
          <w:p>
            <w:pPr>
              <w:pStyle w:val="88"/>
            </w:pPr>
            <w:r>
              <w:t>2035年</w:t>
            </w:r>
          </w:p>
        </w:tc>
        <w:tc>
          <w:tcPr>
            <w:tcW w:w="834" w:type="dxa"/>
            <w:shd w:val="clear" w:color="auto" w:fill="FFFFFF"/>
            <w:vAlign w:val="center"/>
          </w:tcPr>
          <w:p>
            <w:pPr>
              <w:pStyle w:val="88"/>
            </w:pPr>
            <w:r>
              <w:t>2036年</w:t>
            </w:r>
          </w:p>
        </w:tc>
        <w:tc>
          <w:tcPr>
            <w:tcW w:w="835" w:type="dxa"/>
            <w:shd w:val="clear" w:color="auto" w:fill="FFFFFF"/>
            <w:vAlign w:val="center"/>
          </w:tcPr>
          <w:p>
            <w:pPr>
              <w:pStyle w:val="88"/>
            </w:pPr>
            <w:r>
              <w:t>2037年</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834" w:type="dxa"/>
            <w:tcBorders>
              <w:bottom w:val="double" w:color="000000" w:sz="4" w:space="0"/>
            </w:tcBorders>
            <w:shd w:val="clear" w:color="auto" w:fill="FFFFFF"/>
            <w:vAlign w:val="center"/>
          </w:tcPr>
          <w:p>
            <w:pPr>
              <w:pStyle w:val="88"/>
            </w:pPr>
            <w:r>
              <w:t xml:space="preserve">1690.67 </w:t>
            </w:r>
          </w:p>
        </w:tc>
        <w:tc>
          <w:tcPr>
            <w:tcW w:w="834" w:type="dxa"/>
            <w:tcBorders>
              <w:bottom w:val="double" w:color="000000" w:sz="4" w:space="0"/>
            </w:tcBorders>
            <w:shd w:val="clear" w:color="auto" w:fill="FFFFFF"/>
            <w:vAlign w:val="center"/>
          </w:tcPr>
          <w:p>
            <w:pPr>
              <w:pStyle w:val="88"/>
            </w:pPr>
            <w:r>
              <w:t xml:space="preserve">1703.59 </w:t>
            </w:r>
          </w:p>
        </w:tc>
        <w:tc>
          <w:tcPr>
            <w:tcW w:w="834" w:type="dxa"/>
            <w:tcBorders>
              <w:bottom w:val="double" w:color="000000" w:sz="4" w:space="0"/>
            </w:tcBorders>
            <w:shd w:val="clear" w:color="auto" w:fill="FFFFFF"/>
            <w:vAlign w:val="center"/>
          </w:tcPr>
          <w:p>
            <w:pPr>
              <w:pStyle w:val="88"/>
            </w:pPr>
            <w:r>
              <w:t xml:space="preserve">1717.20 </w:t>
            </w:r>
          </w:p>
        </w:tc>
        <w:tc>
          <w:tcPr>
            <w:tcW w:w="834" w:type="dxa"/>
            <w:tcBorders>
              <w:bottom w:val="double" w:color="000000" w:sz="4" w:space="0"/>
            </w:tcBorders>
            <w:shd w:val="clear" w:color="auto" w:fill="FFFFFF"/>
            <w:vAlign w:val="center"/>
          </w:tcPr>
          <w:p>
            <w:pPr>
              <w:pStyle w:val="88"/>
            </w:pPr>
            <w:r>
              <w:t xml:space="preserve">1731.49 </w:t>
            </w:r>
          </w:p>
        </w:tc>
        <w:tc>
          <w:tcPr>
            <w:tcW w:w="835" w:type="dxa"/>
            <w:tcBorders>
              <w:bottom w:val="double" w:color="000000" w:sz="4" w:space="0"/>
            </w:tcBorders>
            <w:shd w:val="clear" w:color="auto" w:fill="FFFFFF"/>
            <w:vAlign w:val="center"/>
          </w:tcPr>
          <w:p>
            <w:pPr>
              <w:pStyle w:val="88"/>
            </w:pPr>
            <w:r>
              <w:t xml:space="preserve">1746.51 </w:t>
            </w:r>
          </w:p>
        </w:tc>
        <w:tc>
          <w:tcPr>
            <w:tcW w:w="834" w:type="dxa"/>
            <w:tcBorders>
              <w:bottom w:val="double" w:color="000000" w:sz="4" w:space="0"/>
            </w:tcBorders>
            <w:shd w:val="clear" w:color="auto" w:fill="FFFFFF"/>
            <w:vAlign w:val="center"/>
          </w:tcPr>
          <w:p>
            <w:pPr>
              <w:pStyle w:val="88"/>
            </w:pPr>
            <w:r>
              <w:t xml:space="preserve">2044.46 </w:t>
            </w:r>
          </w:p>
        </w:tc>
        <w:tc>
          <w:tcPr>
            <w:tcW w:w="834" w:type="dxa"/>
            <w:tcBorders>
              <w:bottom w:val="double" w:color="000000" w:sz="4" w:space="0"/>
            </w:tcBorders>
            <w:shd w:val="clear" w:color="auto" w:fill="FFFFFF"/>
            <w:vAlign w:val="center"/>
          </w:tcPr>
          <w:p>
            <w:pPr>
              <w:pStyle w:val="88"/>
            </w:pPr>
            <w:r>
              <w:t xml:space="preserve">2044.46 </w:t>
            </w:r>
          </w:p>
        </w:tc>
        <w:tc>
          <w:tcPr>
            <w:tcW w:w="834" w:type="dxa"/>
            <w:tcBorders>
              <w:bottom w:val="double" w:color="000000" w:sz="4" w:space="0"/>
            </w:tcBorders>
            <w:shd w:val="clear" w:color="auto" w:fill="FFFFFF"/>
            <w:vAlign w:val="center"/>
          </w:tcPr>
          <w:p>
            <w:pPr>
              <w:pStyle w:val="88"/>
            </w:pPr>
            <w:r>
              <w:t xml:space="preserve">2044.46 </w:t>
            </w:r>
          </w:p>
        </w:tc>
        <w:tc>
          <w:tcPr>
            <w:tcW w:w="834" w:type="dxa"/>
            <w:tcBorders>
              <w:bottom w:val="double" w:color="000000" w:sz="4" w:space="0"/>
            </w:tcBorders>
            <w:shd w:val="clear" w:color="auto" w:fill="FFFFFF"/>
            <w:vAlign w:val="center"/>
          </w:tcPr>
          <w:p>
            <w:pPr>
              <w:pStyle w:val="88"/>
            </w:pPr>
            <w:r>
              <w:t xml:space="preserve">2044.46 </w:t>
            </w:r>
          </w:p>
        </w:tc>
        <w:tc>
          <w:tcPr>
            <w:tcW w:w="835" w:type="dxa"/>
            <w:tcBorders>
              <w:bottom w:val="double" w:color="000000" w:sz="4" w:space="0"/>
            </w:tcBorders>
            <w:shd w:val="clear" w:color="auto" w:fill="FFFFFF"/>
            <w:vAlign w:val="center"/>
          </w:tcPr>
          <w:p>
            <w:pPr>
              <w:pStyle w:val="88"/>
            </w:pPr>
            <w:r>
              <w:t xml:space="preserve">2044.46 </w:t>
            </w:r>
          </w:p>
        </w:tc>
      </w:tr>
      <w:bookmarkEnd w:id="322"/>
    </w:tbl>
    <w:p>
      <w:pPr>
        <w:pStyle w:val="3"/>
        <w:spacing w:before="200" w:after="200" w:line="560" w:lineRule="exact"/>
        <w:ind w:firstLine="562"/>
        <w:jc w:val="left"/>
        <w:rPr>
          <w:rFonts w:ascii="Times New Roman" w:hAnsi="Times New Roman"/>
          <w:szCs w:val="28"/>
        </w:rPr>
      </w:pPr>
      <w:bookmarkStart w:id="329" w:name="_Toc29711"/>
      <w:bookmarkStart w:id="330" w:name="_Toc30914"/>
      <w:bookmarkStart w:id="331" w:name="_Toc29781"/>
      <w:bookmarkStart w:id="332" w:name="_Toc468088680"/>
      <w:bookmarkStart w:id="333" w:name="_Toc3757"/>
      <w:r>
        <w:rPr>
          <w:rFonts w:ascii="Times New Roman" w:hAnsi="Times New Roman"/>
          <w:szCs w:val="28"/>
        </w:rPr>
        <w:t xml:space="preserve">8.5 </w:t>
      </w:r>
      <w:bookmarkEnd w:id="309"/>
      <w:bookmarkEnd w:id="310"/>
      <w:r>
        <w:rPr>
          <w:rFonts w:ascii="Times New Roman" w:hAnsi="Times New Roman"/>
          <w:szCs w:val="28"/>
        </w:rPr>
        <w:t>成本测算</w:t>
      </w:r>
      <w:bookmarkEnd w:id="329"/>
      <w:bookmarkEnd w:id="330"/>
      <w:bookmarkEnd w:id="331"/>
      <w:bookmarkEnd w:id="332"/>
      <w:bookmarkEnd w:id="333"/>
    </w:p>
    <w:p>
      <w:pPr>
        <w:pStyle w:val="4"/>
        <w:spacing w:before="160" w:after="160"/>
        <w:ind w:firstLine="562"/>
        <w:rPr>
          <w:rFonts w:ascii="Times New Roman" w:hAnsi="Times New Roman"/>
          <w:szCs w:val="28"/>
        </w:rPr>
      </w:pPr>
      <w:bookmarkStart w:id="334" w:name="_Toc12755"/>
      <w:bookmarkStart w:id="335" w:name="_Toc468088681"/>
      <w:bookmarkStart w:id="336" w:name="_Toc5059"/>
      <w:bookmarkStart w:id="337" w:name="_Toc16567"/>
      <w:bookmarkStart w:id="338" w:name="_Toc10177"/>
      <w:r>
        <w:rPr>
          <w:rFonts w:ascii="Times New Roman" w:hAnsi="Times New Roman"/>
          <w:szCs w:val="28"/>
        </w:rPr>
        <w:t>8.5.1 运营成本</w:t>
      </w:r>
      <w:bookmarkEnd w:id="334"/>
      <w:bookmarkEnd w:id="335"/>
      <w:bookmarkEnd w:id="336"/>
      <w:bookmarkEnd w:id="337"/>
      <w:bookmarkEnd w:id="338"/>
    </w:p>
    <w:p>
      <w:pPr>
        <w:ind w:firstLine="560"/>
        <w:rPr>
          <w:rFonts w:ascii="Times New Roman" w:hAnsi="Times New Roman"/>
          <w:szCs w:val="28"/>
        </w:rPr>
      </w:pPr>
      <w:r>
        <w:rPr>
          <w:rFonts w:ascii="Times New Roman" w:hAnsi="Times New Roman"/>
          <w:szCs w:val="28"/>
        </w:rPr>
        <w:t>初始经营成本：储备粮油管理费按储备收入的4%测算，初始成本为35.28万元/年；储备仓库修理费按</w:t>
      </w:r>
      <w:r>
        <w:rPr>
          <w:rFonts w:hint="eastAsia" w:ascii="Times New Roman" w:hAnsi="Times New Roman"/>
          <w:szCs w:val="28"/>
        </w:rPr>
        <w:t>建安工程费与设备及工器具购置费之和的1</w:t>
      </w:r>
      <w:r>
        <w:rPr>
          <w:rFonts w:ascii="Times New Roman" w:hAnsi="Times New Roman"/>
          <w:szCs w:val="28"/>
        </w:rPr>
        <w:t>%测算，初始成本为</w:t>
      </w:r>
      <w:r>
        <w:rPr>
          <w:rFonts w:hint="eastAsia" w:ascii="Times New Roman" w:hAnsi="Times New Roman"/>
          <w:szCs w:val="28"/>
        </w:rPr>
        <w:t>145.02</w:t>
      </w:r>
      <w:r>
        <w:rPr>
          <w:rFonts w:ascii="Times New Roman" w:hAnsi="Times New Roman"/>
          <w:szCs w:val="28"/>
        </w:rPr>
        <w:t>万元/年。经营成本均按每5年递增5%测算。</w:t>
      </w:r>
      <w:r>
        <w:rPr>
          <w:rFonts w:hint="eastAsia" w:ascii="Times New Roman" w:hAnsi="Times New Roman"/>
          <w:szCs w:val="28"/>
        </w:rPr>
        <w:t>测算特许经营期内累计运营成本3885.55万元，</w:t>
      </w:r>
      <w:r>
        <w:rPr>
          <w:rFonts w:ascii="Times New Roman" w:hAnsi="Times New Roman"/>
          <w:szCs w:val="28"/>
        </w:rPr>
        <w:t>各年度测算运营成本如下表：</w:t>
      </w:r>
    </w:p>
    <w:p>
      <w:pPr>
        <w:pStyle w:val="82"/>
      </w:pPr>
      <w:r>
        <w:t>运营成本测算表</w:t>
      </w:r>
    </w:p>
    <w:tbl>
      <w:tblPr>
        <w:tblStyle w:val="22"/>
        <w:tblW w:w="8342" w:type="dxa"/>
        <w:jc w:val="center"/>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834"/>
        <w:gridCol w:w="834"/>
        <w:gridCol w:w="834"/>
        <w:gridCol w:w="834"/>
        <w:gridCol w:w="835"/>
        <w:gridCol w:w="834"/>
        <w:gridCol w:w="834"/>
        <w:gridCol w:w="834"/>
        <w:gridCol w:w="834"/>
        <w:gridCol w:w="835"/>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834" w:type="dxa"/>
            <w:tcBorders>
              <w:top w:val="double" w:color="000000" w:sz="4" w:space="0"/>
            </w:tcBorders>
            <w:shd w:val="clear" w:color="auto" w:fill="FFFFFF"/>
            <w:vAlign w:val="center"/>
          </w:tcPr>
          <w:p>
            <w:pPr>
              <w:pStyle w:val="88"/>
            </w:pPr>
            <w:r>
              <w:t>2018年</w:t>
            </w:r>
          </w:p>
        </w:tc>
        <w:tc>
          <w:tcPr>
            <w:tcW w:w="834" w:type="dxa"/>
            <w:tcBorders>
              <w:top w:val="double" w:color="000000" w:sz="4" w:space="0"/>
            </w:tcBorders>
            <w:shd w:val="clear" w:color="auto" w:fill="FFFFFF"/>
            <w:vAlign w:val="center"/>
          </w:tcPr>
          <w:p>
            <w:pPr>
              <w:pStyle w:val="88"/>
            </w:pPr>
            <w:r>
              <w:t>2019年</w:t>
            </w:r>
          </w:p>
        </w:tc>
        <w:tc>
          <w:tcPr>
            <w:tcW w:w="834" w:type="dxa"/>
            <w:tcBorders>
              <w:top w:val="double" w:color="000000" w:sz="4" w:space="0"/>
            </w:tcBorders>
            <w:shd w:val="clear" w:color="auto" w:fill="FFFFFF"/>
            <w:vAlign w:val="center"/>
          </w:tcPr>
          <w:p>
            <w:pPr>
              <w:pStyle w:val="88"/>
            </w:pPr>
            <w:r>
              <w:t>2020年</w:t>
            </w:r>
          </w:p>
        </w:tc>
        <w:tc>
          <w:tcPr>
            <w:tcW w:w="834" w:type="dxa"/>
            <w:tcBorders>
              <w:top w:val="double" w:color="000000" w:sz="4" w:space="0"/>
            </w:tcBorders>
            <w:shd w:val="clear" w:color="auto" w:fill="FFFFFF"/>
            <w:vAlign w:val="center"/>
          </w:tcPr>
          <w:p>
            <w:pPr>
              <w:pStyle w:val="88"/>
            </w:pPr>
            <w:r>
              <w:t>2021年</w:t>
            </w:r>
          </w:p>
        </w:tc>
        <w:tc>
          <w:tcPr>
            <w:tcW w:w="835" w:type="dxa"/>
            <w:tcBorders>
              <w:top w:val="double" w:color="000000" w:sz="4" w:space="0"/>
            </w:tcBorders>
            <w:shd w:val="clear" w:color="auto" w:fill="FFFFFF"/>
            <w:vAlign w:val="center"/>
          </w:tcPr>
          <w:p>
            <w:pPr>
              <w:pStyle w:val="88"/>
            </w:pPr>
            <w:r>
              <w:t>2022年</w:t>
            </w:r>
          </w:p>
        </w:tc>
        <w:tc>
          <w:tcPr>
            <w:tcW w:w="834" w:type="dxa"/>
            <w:tcBorders>
              <w:top w:val="double" w:color="000000" w:sz="4" w:space="0"/>
            </w:tcBorders>
            <w:shd w:val="clear" w:color="auto" w:fill="FFFFFF"/>
            <w:vAlign w:val="center"/>
          </w:tcPr>
          <w:p>
            <w:pPr>
              <w:pStyle w:val="88"/>
            </w:pPr>
            <w:r>
              <w:t>2023年</w:t>
            </w:r>
          </w:p>
        </w:tc>
        <w:tc>
          <w:tcPr>
            <w:tcW w:w="834" w:type="dxa"/>
            <w:tcBorders>
              <w:top w:val="double" w:color="000000" w:sz="4" w:space="0"/>
            </w:tcBorders>
            <w:shd w:val="clear" w:color="auto" w:fill="FFFFFF"/>
            <w:vAlign w:val="center"/>
          </w:tcPr>
          <w:p>
            <w:pPr>
              <w:pStyle w:val="88"/>
            </w:pPr>
            <w:r>
              <w:t>2024年</w:t>
            </w:r>
          </w:p>
        </w:tc>
        <w:tc>
          <w:tcPr>
            <w:tcW w:w="834" w:type="dxa"/>
            <w:tcBorders>
              <w:top w:val="double" w:color="000000" w:sz="4" w:space="0"/>
            </w:tcBorders>
            <w:shd w:val="clear" w:color="auto" w:fill="FFFFFF"/>
            <w:vAlign w:val="center"/>
          </w:tcPr>
          <w:p>
            <w:pPr>
              <w:pStyle w:val="88"/>
            </w:pPr>
            <w:r>
              <w:t>2025年</w:t>
            </w:r>
          </w:p>
        </w:tc>
        <w:tc>
          <w:tcPr>
            <w:tcW w:w="834" w:type="dxa"/>
            <w:tcBorders>
              <w:top w:val="double" w:color="000000" w:sz="4" w:space="0"/>
            </w:tcBorders>
            <w:shd w:val="clear" w:color="auto" w:fill="FFFFFF"/>
            <w:vAlign w:val="center"/>
          </w:tcPr>
          <w:p>
            <w:pPr>
              <w:pStyle w:val="88"/>
            </w:pPr>
            <w:r>
              <w:t>2026年</w:t>
            </w:r>
          </w:p>
        </w:tc>
        <w:tc>
          <w:tcPr>
            <w:tcW w:w="835" w:type="dxa"/>
            <w:tcBorders>
              <w:top w:val="double" w:color="000000" w:sz="4" w:space="0"/>
            </w:tcBorders>
            <w:shd w:val="clear" w:color="auto" w:fill="FFFFFF"/>
            <w:vAlign w:val="center"/>
          </w:tcPr>
          <w:p>
            <w:pPr>
              <w:pStyle w:val="88"/>
            </w:pPr>
            <w:r>
              <w:t>2027年</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834" w:type="dxa"/>
            <w:shd w:val="clear" w:color="auto" w:fill="FFFFFF"/>
            <w:vAlign w:val="center"/>
          </w:tcPr>
          <w:p>
            <w:pPr>
              <w:pStyle w:val="88"/>
            </w:pPr>
            <w:r>
              <w:t xml:space="preserve">180.30 </w:t>
            </w:r>
          </w:p>
        </w:tc>
        <w:tc>
          <w:tcPr>
            <w:tcW w:w="834" w:type="dxa"/>
            <w:shd w:val="clear" w:color="auto" w:fill="FFFFFF"/>
            <w:vAlign w:val="center"/>
          </w:tcPr>
          <w:p>
            <w:pPr>
              <w:pStyle w:val="88"/>
            </w:pPr>
            <w:r>
              <w:t xml:space="preserve">180.30 </w:t>
            </w:r>
          </w:p>
        </w:tc>
        <w:tc>
          <w:tcPr>
            <w:tcW w:w="834" w:type="dxa"/>
            <w:shd w:val="clear" w:color="auto" w:fill="FFFFFF"/>
            <w:vAlign w:val="center"/>
          </w:tcPr>
          <w:p>
            <w:pPr>
              <w:pStyle w:val="88"/>
            </w:pPr>
            <w:r>
              <w:t xml:space="preserve">180.30 </w:t>
            </w:r>
          </w:p>
        </w:tc>
        <w:tc>
          <w:tcPr>
            <w:tcW w:w="834" w:type="dxa"/>
            <w:shd w:val="clear" w:color="auto" w:fill="FFFFFF"/>
            <w:vAlign w:val="center"/>
          </w:tcPr>
          <w:p>
            <w:pPr>
              <w:pStyle w:val="88"/>
            </w:pPr>
            <w:r>
              <w:t xml:space="preserve">180.30 </w:t>
            </w:r>
          </w:p>
        </w:tc>
        <w:tc>
          <w:tcPr>
            <w:tcW w:w="835" w:type="dxa"/>
            <w:shd w:val="clear" w:color="auto" w:fill="FFFFFF"/>
            <w:vAlign w:val="center"/>
          </w:tcPr>
          <w:p>
            <w:pPr>
              <w:pStyle w:val="88"/>
            </w:pPr>
            <w:r>
              <w:t xml:space="preserve">180.30 </w:t>
            </w:r>
          </w:p>
        </w:tc>
        <w:tc>
          <w:tcPr>
            <w:tcW w:w="834" w:type="dxa"/>
            <w:shd w:val="clear" w:color="auto" w:fill="FFFFFF"/>
            <w:vAlign w:val="center"/>
          </w:tcPr>
          <w:p>
            <w:pPr>
              <w:pStyle w:val="88"/>
            </w:pPr>
            <w:r>
              <w:t xml:space="preserve">189.31 </w:t>
            </w:r>
          </w:p>
        </w:tc>
        <w:tc>
          <w:tcPr>
            <w:tcW w:w="834" w:type="dxa"/>
            <w:shd w:val="clear" w:color="auto" w:fill="FFFFFF"/>
            <w:vAlign w:val="center"/>
          </w:tcPr>
          <w:p>
            <w:pPr>
              <w:pStyle w:val="88"/>
            </w:pPr>
            <w:r>
              <w:t xml:space="preserve">189.31 </w:t>
            </w:r>
          </w:p>
        </w:tc>
        <w:tc>
          <w:tcPr>
            <w:tcW w:w="834" w:type="dxa"/>
            <w:shd w:val="clear" w:color="auto" w:fill="FFFFFF"/>
            <w:vAlign w:val="center"/>
          </w:tcPr>
          <w:p>
            <w:pPr>
              <w:pStyle w:val="88"/>
            </w:pPr>
            <w:r>
              <w:t xml:space="preserve">189.31 </w:t>
            </w:r>
          </w:p>
        </w:tc>
        <w:tc>
          <w:tcPr>
            <w:tcW w:w="834" w:type="dxa"/>
            <w:shd w:val="clear" w:color="auto" w:fill="FFFFFF"/>
            <w:vAlign w:val="center"/>
          </w:tcPr>
          <w:p>
            <w:pPr>
              <w:pStyle w:val="88"/>
            </w:pPr>
            <w:r>
              <w:t xml:space="preserve">189.31 </w:t>
            </w:r>
          </w:p>
        </w:tc>
        <w:tc>
          <w:tcPr>
            <w:tcW w:w="835" w:type="dxa"/>
            <w:shd w:val="clear" w:color="auto" w:fill="FFFFFF"/>
            <w:vAlign w:val="center"/>
          </w:tcPr>
          <w:p>
            <w:pPr>
              <w:pStyle w:val="88"/>
            </w:pPr>
            <w:r>
              <w:t xml:space="preserve">189.31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834" w:type="dxa"/>
            <w:shd w:val="clear" w:color="auto" w:fill="FFFFFF"/>
            <w:vAlign w:val="center"/>
          </w:tcPr>
          <w:p>
            <w:pPr>
              <w:pStyle w:val="88"/>
            </w:pPr>
            <w:r>
              <w:t>2028年</w:t>
            </w:r>
          </w:p>
        </w:tc>
        <w:tc>
          <w:tcPr>
            <w:tcW w:w="834" w:type="dxa"/>
            <w:shd w:val="clear" w:color="auto" w:fill="FFFFFF"/>
            <w:vAlign w:val="center"/>
          </w:tcPr>
          <w:p>
            <w:pPr>
              <w:pStyle w:val="88"/>
            </w:pPr>
            <w:r>
              <w:t>2029年</w:t>
            </w:r>
          </w:p>
        </w:tc>
        <w:tc>
          <w:tcPr>
            <w:tcW w:w="834" w:type="dxa"/>
            <w:shd w:val="clear" w:color="auto" w:fill="FFFFFF"/>
            <w:vAlign w:val="center"/>
          </w:tcPr>
          <w:p>
            <w:pPr>
              <w:pStyle w:val="88"/>
            </w:pPr>
            <w:r>
              <w:t>2030年</w:t>
            </w:r>
          </w:p>
        </w:tc>
        <w:tc>
          <w:tcPr>
            <w:tcW w:w="834" w:type="dxa"/>
            <w:shd w:val="clear" w:color="auto" w:fill="FFFFFF"/>
            <w:vAlign w:val="center"/>
          </w:tcPr>
          <w:p>
            <w:pPr>
              <w:pStyle w:val="88"/>
            </w:pPr>
            <w:r>
              <w:t>2031年</w:t>
            </w:r>
          </w:p>
        </w:tc>
        <w:tc>
          <w:tcPr>
            <w:tcW w:w="835" w:type="dxa"/>
            <w:shd w:val="clear" w:color="auto" w:fill="FFFFFF"/>
            <w:vAlign w:val="center"/>
          </w:tcPr>
          <w:p>
            <w:pPr>
              <w:pStyle w:val="88"/>
            </w:pPr>
            <w:r>
              <w:t>2032年</w:t>
            </w:r>
          </w:p>
        </w:tc>
        <w:tc>
          <w:tcPr>
            <w:tcW w:w="834" w:type="dxa"/>
            <w:shd w:val="clear" w:color="auto" w:fill="FFFFFF"/>
            <w:vAlign w:val="center"/>
          </w:tcPr>
          <w:p>
            <w:pPr>
              <w:pStyle w:val="88"/>
            </w:pPr>
            <w:r>
              <w:t>2033年</w:t>
            </w:r>
          </w:p>
        </w:tc>
        <w:tc>
          <w:tcPr>
            <w:tcW w:w="834" w:type="dxa"/>
            <w:shd w:val="clear" w:color="auto" w:fill="FFFFFF"/>
            <w:vAlign w:val="center"/>
          </w:tcPr>
          <w:p>
            <w:pPr>
              <w:pStyle w:val="88"/>
            </w:pPr>
            <w:r>
              <w:t>2034年</w:t>
            </w:r>
          </w:p>
        </w:tc>
        <w:tc>
          <w:tcPr>
            <w:tcW w:w="834" w:type="dxa"/>
            <w:shd w:val="clear" w:color="auto" w:fill="FFFFFF"/>
            <w:vAlign w:val="center"/>
          </w:tcPr>
          <w:p>
            <w:pPr>
              <w:pStyle w:val="88"/>
            </w:pPr>
            <w:r>
              <w:t>2035年</w:t>
            </w:r>
          </w:p>
        </w:tc>
        <w:tc>
          <w:tcPr>
            <w:tcW w:w="834" w:type="dxa"/>
            <w:shd w:val="clear" w:color="auto" w:fill="FFFFFF"/>
            <w:vAlign w:val="center"/>
          </w:tcPr>
          <w:p>
            <w:pPr>
              <w:pStyle w:val="88"/>
            </w:pPr>
            <w:r>
              <w:t>2036年</w:t>
            </w:r>
          </w:p>
        </w:tc>
        <w:tc>
          <w:tcPr>
            <w:tcW w:w="835" w:type="dxa"/>
            <w:shd w:val="clear" w:color="auto" w:fill="FFFFFF"/>
            <w:vAlign w:val="center"/>
          </w:tcPr>
          <w:p>
            <w:pPr>
              <w:pStyle w:val="88"/>
            </w:pPr>
            <w:r>
              <w:t>2037年</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834" w:type="dxa"/>
            <w:tcBorders>
              <w:bottom w:val="double" w:color="000000" w:sz="4" w:space="0"/>
            </w:tcBorders>
            <w:shd w:val="clear" w:color="auto" w:fill="FFFFFF"/>
            <w:vAlign w:val="center"/>
          </w:tcPr>
          <w:p>
            <w:pPr>
              <w:pStyle w:val="88"/>
            </w:pPr>
            <w:r>
              <w:t xml:space="preserve">198.78 </w:t>
            </w:r>
          </w:p>
        </w:tc>
        <w:tc>
          <w:tcPr>
            <w:tcW w:w="834" w:type="dxa"/>
            <w:tcBorders>
              <w:bottom w:val="double" w:color="000000" w:sz="4" w:space="0"/>
            </w:tcBorders>
            <w:shd w:val="clear" w:color="auto" w:fill="FFFFFF"/>
            <w:vAlign w:val="center"/>
          </w:tcPr>
          <w:p>
            <w:pPr>
              <w:pStyle w:val="88"/>
            </w:pPr>
            <w:r>
              <w:t xml:space="preserve">198.78 </w:t>
            </w:r>
          </w:p>
        </w:tc>
        <w:tc>
          <w:tcPr>
            <w:tcW w:w="834" w:type="dxa"/>
            <w:tcBorders>
              <w:bottom w:val="double" w:color="000000" w:sz="4" w:space="0"/>
            </w:tcBorders>
            <w:shd w:val="clear" w:color="auto" w:fill="FFFFFF"/>
            <w:vAlign w:val="center"/>
          </w:tcPr>
          <w:p>
            <w:pPr>
              <w:pStyle w:val="88"/>
            </w:pPr>
            <w:r>
              <w:t xml:space="preserve">198.78 </w:t>
            </w:r>
          </w:p>
        </w:tc>
        <w:tc>
          <w:tcPr>
            <w:tcW w:w="834" w:type="dxa"/>
            <w:tcBorders>
              <w:bottom w:val="double" w:color="000000" w:sz="4" w:space="0"/>
            </w:tcBorders>
            <w:shd w:val="clear" w:color="auto" w:fill="FFFFFF"/>
            <w:vAlign w:val="center"/>
          </w:tcPr>
          <w:p>
            <w:pPr>
              <w:pStyle w:val="88"/>
            </w:pPr>
            <w:r>
              <w:t xml:space="preserve">198.78 </w:t>
            </w:r>
          </w:p>
        </w:tc>
        <w:tc>
          <w:tcPr>
            <w:tcW w:w="835" w:type="dxa"/>
            <w:tcBorders>
              <w:bottom w:val="double" w:color="000000" w:sz="4" w:space="0"/>
            </w:tcBorders>
            <w:shd w:val="clear" w:color="auto" w:fill="FFFFFF"/>
            <w:vAlign w:val="center"/>
          </w:tcPr>
          <w:p>
            <w:pPr>
              <w:pStyle w:val="88"/>
            </w:pPr>
            <w:r>
              <w:t xml:space="preserve">198.78 </w:t>
            </w:r>
          </w:p>
        </w:tc>
        <w:tc>
          <w:tcPr>
            <w:tcW w:w="834" w:type="dxa"/>
            <w:tcBorders>
              <w:bottom w:val="double" w:color="000000" w:sz="4" w:space="0"/>
            </w:tcBorders>
            <w:shd w:val="clear" w:color="auto" w:fill="FFFFFF"/>
            <w:vAlign w:val="center"/>
          </w:tcPr>
          <w:p>
            <w:pPr>
              <w:pStyle w:val="88"/>
            </w:pPr>
            <w:r>
              <w:t xml:space="preserve">208.72 </w:t>
            </w:r>
          </w:p>
        </w:tc>
        <w:tc>
          <w:tcPr>
            <w:tcW w:w="834" w:type="dxa"/>
            <w:tcBorders>
              <w:bottom w:val="double" w:color="000000" w:sz="4" w:space="0"/>
            </w:tcBorders>
            <w:shd w:val="clear" w:color="auto" w:fill="FFFFFF"/>
            <w:vAlign w:val="center"/>
          </w:tcPr>
          <w:p>
            <w:pPr>
              <w:pStyle w:val="88"/>
            </w:pPr>
            <w:r>
              <w:t xml:space="preserve">208.72 </w:t>
            </w:r>
          </w:p>
        </w:tc>
        <w:tc>
          <w:tcPr>
            <w:tcW w:w="834" w:type="dxa"/>
            <w:tcBorders>
              <w:bottom w:val="double" w:color="000000" w:sz="4" w:space="0"/>
            </w:tcBorders>
            <w:shd w:val="clear" w:color="auto" w:fill="FFFFFF"/>
            <w:vAlign w:val="center"/>
          </w:tcPr>
          <w:p>
            <w:pPr>
              <w:pStyle w:val="88"/>
            </w:pPr>
            <w:r>
              <w:t xml:space="preserve">208.72 </w:t>
            </w:r>
          </w:p>
        </w:tc>
        <w:tc>
          <w:tcPr>
            <w:tcW w:w="834" w:type="dxa"/>
            <w:tcBorders>
              <w:bottom w:val="double" w:color="000000" w:sz="4" w:space="0"/>
            </w:tcBorders>
            <w:shd w:val="clear" w:color="auto" w:fill="FFFFFF"/>
            <w:vAlign w:val="center"/>
          </w:tcPr>
          <w:p>
            <w:pPr>
              <w:pStyle w:val="88"/>
            </w:pPr>
            <w:r>
              <w:t xml:space="preserve">208.72 </w:t>
            </w:r>
          </w:p>
        </w:tc>
        <w:tc>
          <w:tcPr>
            <w:tcW w:w="835" w:type="dxa"/>
            <w:tcBorders>
              <w:bottom w:val="double" w:color="000000" w:sz="4" w:space="0"/>
            </w:tcBorders>
            <w:shd w:val="clear" w:color="auto" w:fill="FFFFFF"/>
            <w:vAlign w:val="center"/>
          </w:tcPr>
          <w:p>
            <w:pPr>
              <w:pStyle w:val="88"/>
            </w:pPr>
            <w:r>
              <w:t xml:space="preserve">208.72 </w:t>
            </w:r>
          </w:p>
        </w:tc>
      </w:tr>
    </w:tbl>
    <w:p>
      <w:pPr>
        <w:pStyle w:val="4"/>
        <w:spacing w:before="160" w:after="160"/>
        <w:ind w:firstLine="562"/>
        <w:rPr>
          <w:rFonts w:ascii="Times New Roman" w:hAnsi="Times New Roman"/>
          <w:szCs w:val="28"/>
        </w:rPr>
      </w:pPr>
      <w:bookmarkStart w:id="339" w:name="_Toc31487"/>
      <w:bookmarkStart w:id="340" w:name="_Toc13776"/>
      <w:bookmarkStart w:id="341" w:name="_Toc468088682"/>
      <w:bookmarkStart w:id="342" w:name="_Toc18103"/>
      <w:bookmarkStart w:id="343" w:name="_Toc2944"/>
      <w:r>
        <w:rPr>
          <w:rFonts w:ascii="Times New Roman" w:hAnsi="Times New Roman"/>
          <w:szCs w:val="28"/>
        </w:rPr>
        <w:t>8.5.2 税费</w:t>
      </w:r>
      <w:bookmarkEnd w:id="339"/>
      <w:bookmarkEnd w:id="340"/>
      <w:bookmarkEnd w:id="341"/>
      <w:bookmarkEnd w:id="342"/>
      <w:bookmarkEnd w:id="343"/>
    </w:p>
    <w:p>
      <w:pPr>
        <w:ind w:firstLine="560"/>
        <w:rPr>
          <w:rFonts w:ascii="Times New Roman" w:hAnsi="Times New Roman"/>
          <w:szCs w:val="28"/>
        </w:rPr>
      </w:pPr>
      <w:r>
        <w:rPr>
          <w:rFonts w:ascii="Times New Roman" w:hAnsi="Times New Roman"/>
          <w:szCs w:val="28"/>
        </w:rPr>
        <w:t>仓库、铺面出租税金及附加考虑印花税、房产税，综合税率按17.5%测算，粮食加工及销售增值税综合税率取13%。特许经营期内，项目公司缴纳税金</w:t>
      </w:r>
      <w:r>
        <w:rPr>
          <w:rFonts w:hint="eastAsia" w:ascii="Times New Roman" w:hAnsi="Times New Roman"/>
          <w:szCs w:val="28"/>
        </w:rPr>
        <w:t>3200.23</w:t>
      </w:r>
      <w:r>
        <w:rPr>
          <w:rFonts w:ascii="Times New Roman" w:hAnsi="Times New Roman"/>
          <w:szCs w:val="28"/>
        </w:rPr>
        <w:t>万元，其中：税金及附加1655.53万元、所得税</w:t>
      </w:r>
      <w:r>
        <w:rPr>
          <w:rFonts w:hint="eastAsia" w:ascii="Times New Roman" w:hAnsi="Times New Roman"/>
          <w:szCs w:val="28"/>
        </w:rPr>
        <w:t>1544.70</w:t>
      </w:r>
      <w:r>
        <w:rPr>
          <w:rFonts w:ascii="Times New Roman" w:hAnsi="Times New Roman"/>
          <w:szCs w:val="28"/>
        </w:rPr>
        <w:t>万元。各年度应缴税费如下表所示：</w:t>
      </w:r>
    </w:p>
    <w:p>
      <w:pPr>
        <w:pStyle w:val="82"/>
      </w:pPr>
      <w:r>
        <w:t>应缴税费测算表</w:t>
      </w:r>
    </w:p>
    <w:tbl>
      <w:tblPr>
        <w:tblStyle w:val="22"/>
        <w:tblW w:w="8342"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834"/>
        <w:gridCol w:w="834"/>
        <w:gridCol w:w="834"/>
        <w:gridCol w:w="834"/>
        <w:gridCol w:w="835"/>
        <w:gridCol w:w="834"/>
        <w:gridCol w:w="834"/>
        <w:gridCol w:w="834"/>
        <w:gridCol w:w="834"/>
        <w:gridCol w:w="83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834" w:type="dxa"/>
            <w:tcBorders>
              <w:top w:val="double" w:color="auto" w:sz="4" w:space="0"/>
            </w:tcBorders>
            <w:shd w:val="clear" w:color="auto" w:fill="FFFFFF"/>
            <w:vAlign w:val="center"/>
          </w:tcPr>
          <w:p>
            <w:pPr>
              <w:pStyle w:val="88"/>
            </w:pPr>
            <w:r>
              <w:t>2018年</w:t>
            </w:r>
          </w:p>
        </w:tc>
        <w:tc>
          <w:tcPr>
            <w:tcW w:w="834" w:type="dxa"/>
            <w:tcBorders>
              <w:top w:val="double" w:color="auto" w:sz="4" w:space="0"/>
            </w:tcBorders>
            <w:shd w:val="clear" w:color="auto" w:fill="FFFFFF"/>
            <w:vAlign w:val="center"/>
          </w:tcPr>
          <w:p>
            <w:pPr>
              <w:pStyle w:val="88"/>
            </w:pPr>
            <w:r>
              <w:t>2019年</w:t>
            </w:r>
          </w:p>
        </w:tc>
        <w:tc>
          <w:tcPr>
            <w:tcW w:w="834" w:type="dxa"/>
            <w:tcBorders>
              <w:top w:val="double" w:color="auto" w:sz="4" w:space="0"/>
            </w:tcBorders>
            <w:shd w:val="clear" w:color="auto" w:fill="FFFFFF"/>
            <w:vAlign w:val="center"/>
          </w:tcPr>
          <w:p>
            <w:pPr>
              <w:pStyle w:val="88"/>
            </w:pPr>
            <w:r>
              <w:t>2020年</w:t>
            </w:r>
          </w:p>
        </w:tc>
        <w:tc>
          <w:tcPr>
            <w:tcW w:w="834" w:type="dxa"/>
            <w:tcBorders>
              <w:top w:val="double" w:color="auto" w:sz="4" w:space="0"/>
            </w:tcBorders>
            <w:shd w:val="clear" w:color="auto" w:fill="FFFFFF"/>
            <w:vAlign w:val="center"/>
          </w:tcPr>
          <w:p>
            <w:pPr>
              <w:pStyle w:val="88"/>
            </w:pPr>
            <w:r>
              <w:t>2021年</w:t>
            </w:r>
          </w:p>
        </w:tc>
        <w:tc>
          <w:tcPr>
            <w:tcW w:w="835" w:type="dxa"/>
            <w:tcBorders>
              <w:top w:val="double" w:color="auto" w:sz="4" w:space="0"/>
            </w:tcBorders>
            <w:shd w:val="clear" w:color="auto" w:fill="FFFFFF"/>
            <w:vAlign w:val="center"/>
          </w:tcPr>
          <w:p>
            <w:pPr>
              <w:pStyle w:val="88"/>
            </w:pPr>
            <w:r>
              <w:t>2022年</w:t>
            </w:r>
          </w:p>
        </w:tc>
        <w:tc>
          <w:tcPr>
            <w:tcW w:w="834" w:type="dxa"/>
            <w:tcBorders>
              <w:top w:val="double" w:color="auto" w:sz="4" w:space="0"/>
            </w:tcBorders>
            <w:shd w:val="clear" w:color="auto" w:fill="FFFFFF"/>
            <w:vAlign w:val="center"/>
          </w:tcPr>
          <w:p>
            <w:pPr>
              <w:pStyle w:val="88"/>
            </w:pPr>
            <w:r>
              <w:t>2023年</w:t>
            </w:r>
          </w:p>
        </w:tc>
        <w:tc>
          <w:tcPr>
            <w:tcW w:w="834" w:type="dxa"/>
            <w:tcBorders>
              <w:top w:val="double" w:color="auto" w:sz="4" w:space="0"/>
            </w:tcBorders>
            <w:shd w:val="clear" w:color="auto" w:fill="FFFFFF"/>
            <w:vAlign w:val="center"/>
          </w:tcPr>
          <w:p>
            <w:pPr>
              <w:pStyle w:val="88"/>
            </w:pPr>
            <w:r>
              <w:t>2024年</w:t>
            </w:r>
          </w:p>
        </w:tc>
        <w:tc>
          <w:tcPr>
            <w:tcW w:w="834" w:type="dxa"/>
            <w:tcBorders>
              <w:top w:val="double" w:color="auto" w:sz="4" w:space="0"/>
            </w:tcBorders>
            <w:shd w:val="clear" w:color="auto" w:fill="FFFFFF"/>
            <w:vAlign w:val="center"/>
          </w:tcPr>
          <w:p>
            <w:pPr>
              <w:pStyle w:val="88"/>
            </w:pPr>
            <w:r>
              <w:t>2025年</w:t>
            </w:r>
          </w:p>
        </w:tc>
        <w:tc>
          <w:tcPr>
            <w:tcW w:w="834" w:type="dxa"/>
            <w:tcBorders>
              <w:top w:val="double" w:color="auto" w:sz="4" w:space="0"/>
            </w:tcBorders>
            <w:shd w:val="clear" w:color="auto" w:fill="FFFFFF"/>
            <w:vAlign w:val="center"/>
          </w:tcPr>
          <w:p>
            <w:pPr>
              <w:pStyle w:val="88"/>
            </w:pPr>
            <w:r>
              <w:t>2026年</w:t>
            </w:r>
          </w:p>
        </w:tc>
        <w:tc>
          <w:tcPr>
            <w:tcW w:w="835" w:type="dxa"/>
            <w:tcBorders>
              <w:top w:val="double" w:color="auto" w:sz="4" w:space="0"/>
            </w:tcBorders>
            <w:shd w:val="clear" w:color="auto" w:fill="FFFFFF"/>
            <w:vAlign w:val="center"/>
          </w:tcPr>
          <w:p>
            <w:pPr>
              <w:pStyle w:val="88"/>
            </w:pPr>
            <w:r>
              <w:t>2027年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834" w:type="dxa"/>
            <w:shd w:val="clear" w:color="auto" w:fill="FFFFFF"/>
            <w:vAlign w:val="center"/>
          </w:tcPr>
          <w:p>
            <w:pPr>
              <w:pStyle w:val="88"/>
            </w:pPr>
            <w:r>
              <w:rPr>
                <w:rFonts w:hint="eastAsia"/>
              </w:rPr>
              <w:t xml:space="preserve">33.53 </w:t>
            </w:r>
          </w:p>
        </w:tc>
        <w:tc>
          <w:tcPr>
            <w:tcW w:w="834" w:type="dxa"/>
            <w:shd w:val="clear" w:color="auto" w:fill="FFFFFF"/>
            <w:vAlign w:val="center"/>
          </w:tcPr>
          <w:p>
            <w:pPr>
              <w:pStyle w:val="88"/>
            </w:pPr>
            <w:r>
              <w:rPr>
                <w:rFonts w:hint="eastAsia"/>
              </w:rPr>
              <w:t xml:space="preserve">34.28 </w:t>
            </w:r>
          </w:p>
        </w:tc>
        <w:tc>
          <w:tcPr>
            <w:tcW w:w="834" w:type="dxa"/>
            <w:shd w:val="clear" w:color="auto" w:fill="FFFFFF"/>
            <w:vAlign w:val="center"/>
          </w:tcPr>
          <w:p>
            <w:pPr>
              <w:pStyle w:val="88"/>
            </w:pPr>
            <w:r>
              <w:rPr>
                <w:rFonts w:hint="eastAsia"/>
              </w:rPr>
              <w:t xml:space="preserve">35.07 </w:t>
            </w:r>
          </w:p>
        </w:tc>
        <w:tc>
          <w:tcPr>
            <w:tcW w:w="834" w:type="dxa"/>
            <w:shd w:val="clear" w:color="auto" w:fill="FFFFFF"/>
            <w:vAlign w:val="center"/>
          </w:tcPr>
          <w:p>
            <w:pPr>
              <w:pStyle w:val="88"/>
            </w:pPr>
            <w:r>
              <w:rPr>
                <w:rFonts w:hint="eastAsia"/>
              </w:rPr>
              <w:t xml:space="preserve">35.90 </w:t>
            </w:r>
          </w:p>
        </w:tc>
        <w:tc>
          <w:tcPr>
            <w:tcW w:w="835" w:type="dxa"/>
            <w:shd w:val="clear" w:color="auto" w:fill="FFFFFF"/>
            <w:vAlign w:val="center"/>
          </w:tcPr>
          <w:p>
            <w:pPr>
              <w:pStyle w:val="88"/>
            </w:pPr>
            <w:r>
              <w:rPr>
                <w:rFonts w:hint="eastAsia"/>
              </w:rPr>
              <w:t xml:space="preserve">36.36 </w:t>
            </w:r>
          </w:p>
        </w:tc>
        <w:tc>
          <w:tcPr>
            <w:tcW w:w="834" w:type="dxa"/>
            <w:shd w:val="clear" w:color="auto" w:fill="FFFFFF"/>
            <w:vAlign w:val="center"/>
          </w:tcPr>
          <w:p>
            <w:pPr>
              <w:pStyle w:val="88"/>
            </w:pPr>
            <w:r>
              <w:rPr>
                <w:rFonts w:hint="eastAsia"/>
              </w:rPr>
              <w:t xml:space="preserve">71.44 </w:t>
            </w:r>
          </w:p>
        </w:tc>
        <w:tc>
          <w:tcPr>
            <w:tcW w:w="834" w:type="dxa"/>
            <w:shd w:val="clear" w:color="auto" w:fill="FFFFFF"/>
            <w:vAlign w:val="center"/>
          </w:tcPr>
          <w:p>
            <w:pPr>
              <w:pStyle w:val="88"/>
            </w:pPr>
            <w:r>
              <w:rPr>
                <w:rFonts w:hint="eastAsia"/>
              </w:rPr>
              <w:t xml:space="preserve">72.92 </w:t>
            </w:r>
          </w:p>
        </w:tc>
        <w:tc>
          <w:tcPr>
            <w:tcW w:w="834" w:type="dxa"/>
            <w:shd w:val="clear" w:color="auto" w:fill="FFFFFF"/>
            <w:vAlign w:val="center"/>
          </w:tcPr>
          <w:p>
            <w:pPr>
              <w:pStyle w:val="88"/>
            </w:pPr>
            <w:r>
              <w:rPr>
                <w:rFonts w:hint="eastAsia"/>
              </w:rPr>
              <w:t xml:space="preserve">98.19 </w:t>
            </w:r>
          </w:p>
        </w:tc>
        <w:tc>
          <w:tcPr>
            <w:tcW w:w="834" w:type="dxa"/>
            <w:shd w:val="clear" w:color="auto" w:fill="FFFFFF"/>
            <w:vAlign w:val="center"/>
          </w:tcPr>
          <w:p>
            <w:pPr>
              <w:pStyle w:val="88"/>
            </w:pPr>
            <w:r>
              <w:rPr>
                <w:rFonts w:hint="eastAsia"/>
              </w:rPr>
              <w:t xml:space="preserve">119.58 </w:t>
            </w:r>
          </w:p>
        </w:tc>
        <w:tc>
          <w:tcPr>
            <w:tcW w:w="835" w:type="dxa"/>
            <w:shd w:val="clear" w:color="auto" w:fill="FFFFFF"/>
            <w:vAlign w:val="center"/>
          </w:tcPr>
          <w:p>
            <w:pPr>
              <w:pStyle w:val="88"/>
            </w:pPr>
            <w:r>
              <w:rPr>
                <w:rFonts w:hint="eastAsia"/>
              </w:rPr>
              <w:t xml:space="preserve">133.78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834" w:type="dxa"/>
            <w:shd w:val="clear" w:color="auto" w:fill="FFFFFF"/>
            <w:vAlign w:val="center"/>
          </w:tcPr>
          <w:p>
            <w:pPr>
              <w:pStyle w:val="88"/>
            </w:pPr>
            <w:r>
              <w:t>2028年</w:t>
            </w:r>
          </w:p>
        </w:tc>
        <w:tc>
          <w:tcPr>
            <w:tcW w:w="834" w:type="dxa"/>
            <w:shd w:val="clear" w:color="auto" w:fill="FFFFFF"/>
            <w:vAlign w:val="center"/>
          </w:tcPr>
          <w:p>
            <w:pPr>
              <w:pStyle w:val="88"/>
            </w:pPr>
            <w:r>
              <w:t>2029年</w:t>
            </w:r>
          </w:p>
        </w:tc>
        <w:tc>
          <w:tcPr>
            <w:tcW w:w="834" w:type="dxa"/>
            <w:shd w:val="clear" w:color="auto" w:fill="FFFFFF"/>
            <w:vAlign w:val="center"/>
          </w:tcPr>
          <w:p>
            <w:pPr>
              <w:pStyle w:val="88"/>
            </w:pPr>
            <w:r>
              <w:t>2030年</w:t>
            </w:r>
          </w:p>
        </w:tc>
        <w:tc>
          <w:tcPr>
            <w:tcW w:w="834" w:type="dxa"/>
            <w:shd w:val="clear" w:color="auto" w:fill="FFFFFF"/>
            <w:vAlign w:val="center"/>
          </w:tcPr>
          <w:p>
            <w:pPr>
              <w:pStyle w:val="88"/>
            </w:pPr>
            <w:r>
              <w:t>2031年</w:t>
            </w:r>
          </w:p>
        </w:tc>
        <w:tc>
          <w:tcPr>
            <w:tcW w:w="835" w:type="dxa"/>
            <w:shd w:val="clear" w:color="auto" w:fill="FFFFFF"/>
            <w:vAlign w:val="center"/>
          </w:tcPr>
          <w:p>
            <w:pPr>
              <w:pStyle w:val="88"/>
            </w:pPr>
            <w:r>
              <w:t>2032年</w:t>
            </w:r>
          </w:p>
        </w:tc>
        <w:tc>
          <w:tcPr>
            <w:tcW w:w="834" w:type="dxa"/>
            <w:shd w:val="clear" w:color="auto" w:fill="FFFFFF"/>
            <w:vAlign w:val="center"/>
          </w:tcPr>
          <w:p>
            <w:pPr>
              <w:pStyle w:val="88"/>
            </w:pPr>
            <w:r>
              <w:t>2033年</w:t>
            </w:r>
          </w:p>
        </w:tc>
        <w:tc>
          <w:tcPr>
            <w:tcW w:w="834" w:type="dxa"/>
            <w:shd w:val="clear" w:color="auto" w:fill="FFFFFF"/>
            <w:vAlign w:val="center"/>
          </w:tcPr>
          <w:p>
            <w:pPr>
              <w:pStyle w:val="88"/>
            </w:pPr>
            <w:r>
              <w:t>2034年</w:t>
            </w:r>
          </w:p>
        </w:tc>
        <w:tc>
          <w:tcPr>
            <w:tcW w:w="834" w:type="dxa"/>
            <w:shd w:val="clear" w:color="auto" w:fill="FFFFFF"/>
            <w:vAlign w:val="center"/>
          </w:tcPr>
          <w:p>
            <w:pPr>
              <w:pStyle w:val="88"/>
            </w:pPr>
            <w:r>
              <w:t>2035年</w:t>
            </w:r>
          </w:p>
        </w:tc>
        <w:tc>
          <w:tcPr>
            <w:tcW w:w="834" w:type="dxa"/>
            <w:shd w:val="clear" w:color="auto" w:fill="FFFFFF"/>
            <w:vAlign w:val="center"/>
          </w:tcPr>
          <w:p>
            <w:pPr>
              <w:pStyle w:val="88"/>
            </w:pPr>
            <w:r>
              <w:t>2036年</w:t>
            </w:r>
          </w:p>
        </w:tc>
        <w:tc>
          <w:tcPr>
            <w:tcW w:w="835" w:type="dxa"/>
            <w:shd w:val="clear" w:color="auto" w:fill="FFFFFF"/>
            <w:vAlign w:val="center"/>
          </w:tcPr>
          <w:p>
            <w:pPr>
              <w:pStyle w:val="88"/>
            </w:pPr>
            <w:r>
              <w:t>2037年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834" w:type="dxa"/>
            <w:tcBorders>
              <w:bottom w:val="double" w:color="auto" w:sz="4" w:space="0"/>
            </w:tcBorders>
            <w:shd w:val="clear" w:color="auto" w:fill="FFFFFF"/>
            <w:vAlign w:val="center"/>
          </w:tcPr>
          <w:p>
            <w:pPr>
              <w:pStyle w:val="88"/>
            </w:pPr>
            <w:r>
              <w:rPr>
                <w:rFonts w:hint="eastAsia"/>
              </w:rPr>
              <w:t xml:space="preserve">162.93 </w:t>
            </w:r>
          </w:p>
        </w:tc>
        <w:tc>
          <w:tcPr>
            <w:tcW w:w="834" w:type="dxa"/>
            <w:tcBorders>
              <w:bottom w:val="double" w:color="auto" w:sz="4" w:space="0"/>
            </w:tcBorders>
            <w:shd w:val="clear" w:color="auto" w:fill="FFFFFF"/>
            <w:vAlign w:val="center"/>
          </w:tcPr>
          <w:p>
            <w:pPr>
              <w:pStyle w:val="88"/>
            </w:pPr>
            <w:r>
              <w:rPr>
                <w:rFonts w:hint="eastAsia"/>
              </w:rPr>
              <w:t xml:space="preserve">179.09 </w:t>
            </w:r>
          </w:p>
        </w:tc>
        <w:tc>
          <w:tcPr>
            <w:tcW w:w="834" w:type="dxa"/>
            <w:tcBorders>
              <w:bottom w:val="double" w:color="auto" w:sz="4" w:space="0"/>
            </w:tcBorders>
            <w:shd w:val="clear" w:color="auto" w:fill="FFFFFF"/>
            <w:vAlign w:val="center"/>
          </w:tcPr>
          <w:p>
            <w:pPr>
              <w:pStyle w:val="88"/>
            </w:pPr>
            <w:r>
              <w:rPr>
                <w:rFonts w:hint="eastAsia"/>
              </w:rPr>
              <w:t xml:space="preserve">196.13 </w:t>
            </w:r>
          </w:p>
        </w:tc>
        <w:tc>
          <w:tcPr>
            <w:tcW w:w="834" w:type="dxa"/>
            <w:tcBorders>
              <w:bottom w:val="double" w:color="auto" w:sz="4" w:space="0"/>
            </w:tcBorders>
            <w:shd w:val="clear" w:color="auto" w:fill="FFFFFF"/>
            <w:vAlign w:val="center"/>
          </w:tcPr>
          <w:p>
            <w:pPr>
              <w:pStyle w:val="88"/>
            </w:pPr>
            <w:r>
              <w:rPr>
                <w:rFonts w:hint="eastAsia"/>
              </w:rPr>
              <w:t xml:space="preserve">214.11 </w:t>
            </w:r>
          </w:p>
        </w:tc>
        <w:tc>
          <w:tcPr>
            <w:tcW w:w="835" w:type="dxa"/>
            <w:tcBorders>
              <w:bottom w:val="double" w:color="auto" w:sz="4" w:space="0"/>
            </w:tcBorders>
            <w:shd w:val="clear" w:color="auto" w:fill="FFFFFF"/>
            <w:vAlign w:val="center"/>
          </w:tcPr>
          <w:p>
            <w:pPr>
              <w:pStyle w:val="88"/>
            </w:pPr>
            <w:r>
              <w:rPr>
                <w:rFonts w:hint="eastAsia"/>
              </w:rPr>
              <w:t xml:space="preserve">233.07 </w:t>
            </w:r>
          </w:p>
        </w:tc>
        <w:tc>
          <w:tcPr>
            <w:tcW w:w="834" w:type="dxa"/>
            <w:tcBorders>
              <w:bottom w:val="double" w:color="auto" w:sz="4" w:space="0"/>
            </w:tcBorders>
            <w:shd w:val="clear" w:color="auto" w:fill="FFFFFF"/>
            <w:vAlign w:val="center"/>
          </w:tcPr>
          <w:p>
            <w:pPr>
              <w:pStyle w:val="88"/>
            </w:pPr>
            <w:r>
              <w:rPr>
                <w:rFonts w:hint="eastAsia"/>
              </w:rPr>
              <w:t xml:space="preserve">270.38 </w:t>
            </w:r>
          </w:p>
        </w:tc>
        <w:tc>
          <w:tcPr>
            <w:tcW w:w="834" w:type="dxa"/>
            <w:tcBorders>
              <w:bottom w:val="double" w:color="auto" w:sz="4" w:space="0"/>
            </w:tcBorders>
            <w:shd w:val="clear" w:color="auto" w:fill="FFFFFF"/>
            <w:vAlign w:val="center"/>
          </w:tcPr>
          <w:p>
            <w:pPr>
              <w:pStyle w:val="88"/>
            </w:pPr>
            <w:r>
              <w:rPr>
                <w:rFonts w:hint="eastAsia"/>
              </w:rPr>
              <w:t xml:space="preserve">288.55 </w:t>
            </w:r>
          </w:p>
        </w:tc>
        <w:tc>
          <w:tcPr>
            <w:tcW w:w="834" w:type="dxa"/>
            <w:tcBorders>
              <w:bottom w:val="double" w:color="auto" w:sz="4" w:space="0"/>
            </w:tcBorders>
            <w:shd w:val="clear" w:color="auto" w:fill="FFFFFF"/>
            <w:vAlign w:val="center"/>
          </w:tcPr>
          <w:p>
            <w:pPr>
              <w:pStyle w:val="88"/>
            </w:pPr>
            <w:r>
              <w:rPr>
                <w:rFonts w:hint="eastAsia"/>
              </w:rPr>
              <w:t xml:space="preserve">307.72 </w:t>
            </w:r>
          </w:p>
        </w:tc>
        <w:tc>
          <w:tcPr>
            <w:tcW w:w="834" w:type="dxa"/>
            <w:tcBorders>
              <w:bottom w:val="double" w:color="auto" w:sz="4" w:space="0"/>
            </w:tcBorders>
            <w:shd w:val="clear" w:color="auto" w:fill="FFFFFF"/>
            <w:vAlign w:val="center"/>
          </w:tcPr>
          <w:p>
            <w:pPr>
              <w:pStyle w:val="88"/>
            </w:pPr>
            <w:r>
              <w:rPr>
                <w:rFonts w:hint="eastAsia"/>
              </w:rPr>
              <w:t xml:space="preserve">327.94 </w:t>
            </w:r>
          </w:p>
        </w:tc>
        <w:tc>
          <w:tcPr>
            <w:tcW w:w="835" w:type="dxa"/>
            <w:tcBorders>
              <w:bottom w:val="double" w:color="auto" w:sz="4" w:space="0"/>
            </w:tcBorders>
            <w:shd w:val="clear" w:color="auto" w:fill="FFFFFF"/>
            <w:vAlign w:val="center"/>
          </w:tcPr>
          <w:p>
            <w:pPr>
              <w:pStyle w:val="88"/>
            </w:pPr>
            <w:r>
              <w:rPr>
                <w:rFonts w:hint="eastAsia"/>
              </w:rPr>
              <w:t xml:space="preserve">349.28 </w:t>
            </w:r>
          </w:p>
        </w:tc>
      </w:tr>
    </w:tbl>
    <w:p>
      <w:pPr>
        <w:pStyle w:val="4"/>
        <w:spacing w:before="160" w:after="160"/>
        <w:ind w:firstLine="562"/>
        <w:rPr>
          <w:rFonts w:ascii="Times New Roman" w:hAnsi="Times New Roman"/>
          <w:szCs w:val="28"/>
        </w:rPr>
      </w:pPr>
      <w:bookmarkStart w:id="344" w:name="_Toc25506"/>
      <w:bookmarkStart w:id="345" w:name="_Toc468088683"/>
      <w:bookmarkStart w:id="346" w:name="_Toc5572"/>
      <w:bookmarkStart w:id="347" w:name="_Toc28651"/>
      <w:bookmarkStart w:id="348" w:name="_Toc11732"/>
      <w:r>
        <w:rPr>
          <w:rFonts w:ascii="Times New Roman" w:hAnsi="Times New Roman"/>
          <w:szCs w:val="28"/>
        </w:rPr>
        <w:t>8.5.3 资产摊销</w:t>
      </w:r>
      <w:bookmarkEnd w:id="344"/>
      <w:bookmarkEnd w:id="345"/>
      <w:bookmarkEnd w:id="346"/>
      <w:bookmarkEnd w:id="347"/>
      <w:bookmarkEnd w:id="348"/>
    </w:p>
    <w:p>
      <w:pPr>
        <w:ind w:firstLine="560"/>
      </w:pPr>
      <w:bookmarkStart w:id="349" w:name="_Toc16381"/>
      <w:r>
        <w:rPr>
          <w:rFonts w:ascii="Times New Roman" w:hAnsi="Times New Roman"/>
          <w:szCs w:val="28"/>
        </w:rPr>
        <w:t>本</w:t>
      </w:r>
      <w:r>
        <w:rPr>
          <w:rFonts w:hint="eastAsia" w:ascii="Times New Roman" w:hAnsi="Times New Roman"/>
          <w:szCs w:val="28"/>
        </w:rPr>
        <w:t>项目财务测算中，项目建设所形成的固定资产</w:t>
      </w:r>
      <w:r>
        <w:rPr>
          <w:rFonts w:ascii="Times New Roman" w:hAnsi="Times New Roman"/>
          <w:szCs w:val="28"/>
        </w:rPr>
        <w:t>按整个运营期进行折旧摊销，采用直线折旧摊销，</w:t>
      </w:r>
      <w:r>
        <w:rPr>
          <w:rFonts w:hint="eastAsia" w:ascii="Times New Roman" w:hAnsi="Times New Roman"/>
          <w:szCs w:val="28"/>
        </w:rPr>
        <w:t>折旧摊销时只考虑社会资本的资本金和融资额，</w:t>
      </w:r>
      <w:r>
        <w:rPr>
          <w:rFonts w:ascii="Times New Roman" w:hAnsi="Times New Roman"/>
          <w:szCs w:val="28"/>
        </w:rPr>
        <w:t>期末不考虑残值。</w:t>
      </w:r>
    </w:p>
    <w:p>
      <w:pPr>
        <w:pStyle w:val="4"/>
        <w:spacing w:before="160" w:after="160"/>
        <w:ind w:firstLine="562"/>
        <w:rPr>
          <w:rFonts w:ascii="Times New Roman" w:hAnsi="Times New Roman"/>
          <w:szCs w:val="28"/>
        </w:rPr>
      </w:pPr>
      <w:bookmarkStart w:id="350" w:name="_Toc28425"/>
      <w:bookmarkStart w:id="351" w:name="_Toc468088684"/>
      <w:bookmarkStart w:id="352" w:name="_Toc13448"/>
      <w:bookmarkStart w:id="353" w:name="_Toc30761"/>
      <w:r>
        <w:rPr>
          <w:rFonts w:ascii="Times New Roman" w:hAnsi="Times New Roman"/>
          <w:szCs w:val="28"/>
        </w:rPr>
        <w:t>8.5.4 资金成本</w:t>
      </w:r>
      <w:bookmarkEnd w:id="349"/>
      <w:bookmarkEnd w:id="350"/>
      <w:bookmarkEnd w:id="351"/>
      <w:bookmarkEnd w:id="352"/>
      <w:bookmarkEnd w:id="353"/>
    </w:p>
    <w:p>
      <w:pPr>
        <w:ind w:firstLine="560"/>
        <w:rPr>
          <w:rFonts w:ascii="Times New Roman" w:hAnsi="Times New Roman"/>
          <w:szCs w:val="28"/>
        </w:rPr>
      </w:pPr>
      <w:r>
        <w:rPr>
          <w:rFonts w:ascii="Times New Roman" w:hAnsi="Times New Roman"/>
          <w:szCs w:val="28"/>
        </w:rPr>
        <w:t>项目需融资</w:t>
      </w:r>
      <w:r>
        <w:rPr>
          <w:rFonts w:hint="eastAsia" w:ascii="Times New Roman" w:hAnsi="Times New Roman"/>
          <w:szCs w:val="28"/>
        </w:rPr>
        <w:t>15480.79</w:t>
      </w:r>
      <w:r>
        <w:rPr>
          <w:rFonts w:ascii="Times New Roman" w:hAnsi="Times New Roman"/>
          <w:szCs w:val="28"/>
        </w:rPr>
        <w:t>万元</w:t>
      </w:r>
      <w:r>
        <w:rPr>
          <w:rFonts w:ascii="Times New Roman" w:hAnsi="Times New Roman"/>
          <w:szCs w:val="28"/>
        </w:rPr>
        <w:tab/>
      </w:r>
      <w:r>
        <w:rPr>
          <w:rFonts w:ascii="Times New Roman" w:hAnsi="Times New Roman"/>
          <w:szCs w:val="28"/>
        </w:rPr>
        <w:t>。融资成本按</w:t>
      </w:r>
      <w:r>
        <w:rPr>
          <w:rFonts w:hint="eastAsia" w:ascii="Times New Roman" w:hAnsi="Times New Roman"/>
          <w:szCs w:val="28"/>
        </w:rPr>
        <w:t>5.5%</w:t>
      </w:r>
      <w:r>
        <w:rPr>
          <w:rFonts w:ascii="Times New Roman" w:hAnsi="Times New Roman"/>
          <w:szCs w:val="28"/>
        </w:rPr>
        <w:t>测算，还款方式为等额本息。特许经营期内，还本付息总额为</w:t>
      </w:r>
      <w:r>
        <w:rPr>
          <w:rFonts w:hint="eastAsia" w:ascii="Times New Roman" w:hAnsi="Times New Roman"/>
          <w:szCs w:val="28"/>
        </w:rPr>
        <w:t>25908.43</w:t>
      </w:r>
      <w:r>
        <w:rPr>
          <w:rFonts w:ascii="Times New Roman" w:hAnsi="Times New Roman"/>
          <w:szCs w:val="28"/>
        </w:rPr>
        <w:t>万元，其中：利息</w:t>
      </w:r>
      <w:r>
        <w:rPr>
          <w:rFonts w:hint="eastAsia" w:ascii="Times New Roman" w:hAnsi="Times New Roman"/>
          <w:szCs w:val="28"/>
        </w:rPr>
        <w:t>10427.64</w:t>
      </w:r>
      <w:r>
        <w:rPr>
          <w:rFonts w:ascii="Times New Roman" w:hAnsi="Times New Roman"/>
          <w:szCs w:val="28"/>
        </w:rPr>
        <w:t>万元、本金</w:t>
      </w:r>
      <w:r>
        <w:rPr>
          <w:rFonts w:hint="eastAsia" w:ascii="Times New Roman" w:hAnsi="Times New Roman"/>
          <w:szCs w:val="28"/>
        </w:rPr>
        <w:t>15480.79</w:t>
      </w:r>
      <w:r>
        <w:rPr>
          <w:rFonts w:ascii="Times New Roman" w:hAnsi="Times New Roman"/>
          <w:szCs w:val="28"/>
        </w:rPr>
        <w:t>万元。各年度还本付息如下表所示：</w:t>
      </w:r>
    </w:p>
    <w:p>
      <w:pPr>
        <w:pStyle w:val="82"/>
      </w:pPr>
      <w:r>
        <w:t>还本付息测算表</w:t>
      </w:r>
    </w:p>
    <w:tbl>
      <w:tblPr>
        <w:tblStyle w:val="22"/>
        <w:tblW w:w="8437"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767"/>
        <w:gridCol w:w="767"/>
        <w:gridCol w:w="767"/>
        <w:gridCol w:w="767"/>
        <w:gridCol w:w="767"/>
        <w:gridCol w:w="767"/>
        <w:gridCol w:w="767"/>
        <w:gridCol w:w="767"/>
        <w:gridCol w:w="767"/>
        <w:gridCol w:w="767"/>
        <w:gridCol w:w="76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767" w:type="dxa"/>
            <w:tcBorders>
              <w:top w:val="double" w:color="auto" w:sz="4" w:space="0"/>
            </w:tcBorders>
            <w:shd w:val="clear" w:color="auto" w:fill="FFFFFF"/>
            <w:vAlign w:val="center"/>
          </w:tcPr>
          <w:p>
            <w:pPr>
              <w:pStyle w:val="88"/>
            </w:pPr>
            <w:r>
              <w:t>年度</w:t>
            </w:r>
          </w:p>
        </w:tc>
        <w:tc>
          <w:tcPr>
            <w:tcW w:w="767" w:type="dxa"/>
            <w:tcBorders>
              <w:top w:val="double" w:color="auto" w:sz="4" w:space="0"/>
            </w:tcBorders>
            <w:shd w:val="clear" w:color="auto" w:fill="FFFFFF"/>
            <w:vAlign w:val="center"/>
          </w:tcPr>
          <w:p>
            <w:pPr>
              <w:pStyle w:val="88"/>
            </w:pPr>
            <w:r>
              <w:t>2018年</w:t>
            </w:r>
          </w:p>
        </w:tc>
        <w:tc>
          <w:tcPr>
            <w:tcW w:w="767" w:type="dxa"/>
            <w:tcBorders>
              <w:top w:val="double" w:color="auto" w:sz="4" w:space="0"/>
            </w:tcBorders>
            <w:shd w:val="clear" w:color="auto" w:fill="FFFFFF"/>
            <w:vAlign w:val="center"/>
          </w:tcPr>
          <w:p>
            <w:pPr>
              <w:pStyle w:val="88"/>
            </w:pPr>
            <w:r>
              <w:t>2019年</w:t>
            </w:r>
          </w:p>
        </w:tc>
        <w:tc>
          <w:tcPr>
            <w:tcW w:w="767" w:type="dxa"/>
            <w:tcBorders>
              <w:top w:val="double" w:color="auto" w:sz="4" w:space="0"/>
            </w:tcBorders>
            <w:shd w:val="clear" w:color="auto" w:fill="FFFFFF"/>
            <w:vAlign w:val="center"/>
          </w:tcPr>
          <w:p>
            <w:pPr>
              <w:pStyle w:val="88"/>
            </w:pPr>
            <w:r>
              <w:t>2020年</w:t>
            </w:r>
          </w:p>
        </w:tc>
        <w:tc>
          <w:tcPr>
            <w:tcW w:w="767" w:type="dxa"/>
            <w:tcBorders>
              <w:top w:val="double" w:color="auto" w:sz="4" w:space="0"/>
            </w:tcBorders>
            <w:shd w:val="clear" w:color="auto" w:fill="FFFFFF"/>
            <w:vAlign w:val="center"/>
          </w:tcPr>
          <w:p>
            <w:pPr>
              <w:pStyle w:val="88"/>
            </w:pPr>
            <w:r>
              <w:t>2021年</w:t>
            </w:r>
          </w:p>
        </w:tc>
        <w:tc>
          <w:tcPr>
            <w:tcW w:w="767" w:type="dxa"/>
            <w:tcBorders>
              <w:top w:val="double" w:color="auto" w:sz="4" w:space="0"/>
            </w:tcBorders>
            <w:shd w:val="clear" w:color="auto" w:fill="FFFFFF"/>
            <w:vAlign w:val="center"/>
          </w:tcPr>
          <w:p>
            <w:pPr>
              <w:pStyle w:val="88"/>
            </w:pPr>
            <w:r>
              <w:t>2022年</w:t>
            </w:r>
          </w:p>
        </w:tc>
        <w:tc>
          <w:tcPr>
            <w:tcW w:w="767" w:type="dxa"/>
            <w:tcBorders>
              <w:top w:val="double" w:color="auto" w:sz="4" w:space="0"/>
            </w:tcBorders>
            <w:shd w:val="clear" w:color="auto" w:fill="FFFFFF"/>
            <w:vAlign w:val="center"/>
          </w:tcPr>
          <w:p>
            <w:pPr>
              <w:pStyle w:val="88"/>
            </w:pPr>
            <w:r>
              <w:t>2023年</w:t>
            </w:r>
          </w:p>
        </w:tc>
        <w:tc>
          <w:tcPr>
            <w:tcW w:w="767" w:type="dxa"/>
            <w:tcBorders>
              <w:top w:val="double" w:color="auto" w:sz="4" w:space="0"/>
            </w:tcBorders>
            <w:shd w:val="clear" w:color="auto" w:fill="FFFFFF"/>
            <w:vAlign w:val="center"/>
          </w:tcPr>
          <w:p>
            <w:pPr>
              <w:pStyle w:val="88"/>
            </w:pPr>
            <w:r>
              <w:t>2024年</w:t>
            </w:r>
          </w:p>
        </w:tc>
        <w:tc>
          <w:tcPr>
            <w:tcW w:w="767" w:type="dxa"/>
            <w:tcBorders>
              <w:top w:val="double" w:color="auto" w:sz="4" w:space="0"/>
            </w:tcBorders>
            <w:shd w:val="clear" w:color="auto" w:fill="FFFFFF"/>
            <w:vAlign w:val="center"/>
          </w:tcPr>
          <w:p>
            <w:pPr>
              <w:pStyle w:val="88"/>
            </w:pPr>
            <w:r>
              <w:t>2025年</w:t>
            </w:r>
          </w:p>
        </w:tc>
        <w:tc>
          <w:tcPr>
            <w:tcW w:w="767" w:type="dxa"/>
            <w:tcBorders>
              <w:top w:val="double" w:color="auto" w:sz="4" w:space="0"/>
            </w:tcBorders>
            <w:shd w:val="clear" w:color="auto" w:fill="FFFFFF"/>
            <w:vAlign w:val="center"/>
          </w:tcPr>
          <w:p>
            <w:pPr>
              <w:pStyle w:val="88"/>
            </w:pPr>
            <w:r>
              <w:t>2026年</w:t>
            </w:r>
          </w:p>
        </w:tc>
        <w:tc>
          <w:tcPr>
            <w:tcW w:w="767" w:type="dxa"/>
            <w:tcBorders>
              <w:top w:val="double" w:color="auto" w:sz="4" w:space="0"/>
            </w:tcBorders>
            <w:shd w:val="clear" w:color="auto" w:fill="FFFFFF"/>
            <w:vAlign w:val="center"/>
          </w:tcPr>
          <w:p>
            <w:pPr>
              <w:pStyle w:val="88"/>
            </w:pPr>
            <w:r>
              <w:t>2027年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767" w:type="dxa"/>
            <w:shd w:val="clear" w:color="auto" w:fill="FFFFFF"/>
            <w:vAlign w:val="center"/>
          </w:tcPr>
          <w:p>
            <w:pPr>
              <w:pStyle w:val="88"/>
            </w:pPr>
            <w:r>
              <w:rPr>
                <w:rFonts w:hint="eastAsia"/>
              </w:rPr>
              <w:t>本金</w:t>
            </w:r>
          </w:p>
        </w:tc>
        <w:tc>
          <w:tcPr>
            <w:tcW w:w="767" w:type="dxa"/>
            <w:shd w:val="clear" w:color="auto" w:fill="FFFFFF"/>
            <w:vAlign w:val="center"/>
          </w:tcPr>
          <w:p>
            <w:pPr>
              <w:pStyle w:val="88"/>
            </w:pPr>
            <w:r>
              <w:t xml:space="preserve">443.98 </w:t>
            </w:r>
          </w:p>
        </w:tc>
        <w:tc>
          <w:tcPr>
            <w:tcW w:w="767" w:type="dxa"/>
            <w:shd w:val="clear" w:color="auto" w:fill="FFFFFF"/>
            <w:vAlign w:val="center"/>
          </w:tcPr>
          <w:p>
            <w:pPr>
              <w:pStyle w:val="88"/>
            </w:pPr>
            <w:r>
              <w:t xml:space="preserve">468.40 </w:t>
            </w:r>
          </w:p>
        </w:tc>
        <w:tc>
          <w:tcPr>
            <w:tcW w:w="767" w:type="dxa"/>
            <w:shd w:val="clear" w:color="auto" w:fill="FFFFFF"/>
            <w:vAlign w:val="center"/>
          </w:tcPr>
          <w:p>
            <w:pPr>
              <w:pStyle w:val="88"/>
            </w:pPr>
            <w:r>
              <w:t xml:space="preserve">494.16 </w:t>
            </w:r>
          </w:p>
        </w:tc>
        <w:tc>
          <w:tcPr>
            <w:tcW w:w="767" w:type="dxa"/>
            <w:shd w:val="clear" w:color="auto" w:fill="FFFFFF"/>
            <w:vAlign w:val="center"/>
          </w:tcPr>
          <w:p>
            <w:pPr>
              <w:pStyle w:val="88"/>
            </w:pPr>
            <w:r>
              <w:t xml:space="preserve">521.34 </w:t>
            </w:r>
          </w:p>
        </w:tc>
        <w:tc>
          <w:tcPr>
            <w:tcW w:w="767" w:type="dxa"/>
            <w:shd w:val="clear" w:color="auto" w:fill="FFFFFF"/>
            <w:vAlign w:val="center"/>
          </w:tcPr>
          <w:p>
            <w:pPr>
              <w:pStyle w:val="88"/>
            </w:pPr>
            <w:r>
              <w:t xml:space="preserve">550.01 </w:t>
            </w:r>
          </w:p>
        </w:tc>
        <w:tc>
          <w:tcPr>
            <w:tcW w:w="767" w:type="dxa"/>
            <w:shd w:val="clear" w:color="auto" w:fill="FFFFFF"/>
            <w:vAlign w:val="center"/>
          </w:tcPr>
          <w:p>
            <w:pPr>
              <w:pStyle w:val="88"/>
            </w:pPr>
            <w:r>
              <w:t xml:space="preserve">580.26 </w:t>
            </w:r>
          </w:p>
        </w:tc>
        <w:tc>
          <w:tcPr>
            <w:tcW w:w="767" w:type="dxa"/>
            <w:shd w:val="clear" w:color="auto" w:fill="FFFFFF"/>
            <w:vAlign w:val="center"/>
          </w:tcPr>
          <w:p>
            <w:pPr>
              <w:pStyle w:val="88"/>
            </w:pPr>
            <w:r>
              <w:t xml:space="preserve">612.17 </w:t>
            </w:r>
          </w:p>
        </w:tc>
        <w:tc>
          <w:tcPr>
            <w:tcW w:w="767" w:type="dxa"/>
            <w:shd w:val="clear" w:color="auto" w:fill="FFFFFF"/>
            <w:vAlign w:val="center"/>
          </w:tcPr>
          <w:p>
            <w:pPr>
              <w:pStyle w:val="88"/>
            </w:pPr>
            <w:r>
              <w:t xml:space="preserve">645.84 </w:t>
            </w:r>
          </w:p>
        </w:tc>
        <w:tc>
          <w:tcPr>
            <w:tcW w:w="767" w:type="dxa"/>
            <w:shd w:val="clear" w:color="auto" w:fill="FFFFFF"/>
            <w:vAlign w:val="center"/>
          </w:tcPr>
          <w:p>
            <w:pPr>
              <w:pStyle w:val="88"/>
            </w:pPr>
            <w:r>
              <w:t xml:space="preserve">681.37 </w:t>
            </w:r>
          </w:p>
        </w:tc>
        <w:tc>
          <w:tcPr>
            <w:tcW w:w="767" w:type="dxa"/>
            <w:shd w:val="clear" w:color="auto" w:fill="FFFFFF"/>
            <w:vAlign w:val="center"/>
          </w:tcPr>
          <w:p>
            <w:pPr>
              <w:pStyle w:val="88"/>
            </w:pPr>
            <w:r>
              <w:t xml:space="preserve">718.84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767" w:type="dxa"/>
            <w:shd w:val="clear" w:color="auto" w:fill="FFFFFF"/>
            <w:vAlign w:val="center"/>
          </w:tcPr>
          <w:p>
            <w:pPr>
              <w:pStyle w:val="88"/>
            </w:pPr>
            <w:r>
              <w:rPr>
                <w:rFonts w:hint="eastAsia"/>
              </w:rPr>
              <w:t>利息</w:t>
            </w:r>
          </w:p>
        </w:tc>
        <w:tc>
          <w:tcPr>
            <w:tcW w:w="767" w:type="dxa"/>
            <w:shd w:val="clear" w:color="auto" w:fill="FFFFFF"/>
            <w:vAlign w:val="center"/>
          </w:tcPr>
          <w:p>
            <w:pPr>
              <w:pStyle w:val="88"/>
            </w:pPr>
            <w:r>
              <w:t xml:space="preserve">851.44 </w:t>
            </w:r>
          </w:p>
        </w:tc>
        <w:tc>
          <w:tcPr>
            <w:tcW w:w="767" w:type="dxa"/>
            <w:shd w:val="clear" w:color="auto" w:fill="FFFFFF"/>
            <w:vAlign w:val="center"/>
          </w:tcPr>
          <w:p>
            <w:pPr>
              <w:pStyle w:val="88"/>
            </w:pPr>
            <w:r>
              <w:t xml:space="preserve">827.02 </w:t>
            </w:r>
          </w:p>
        </w:tc>
        <w:tc>
          <w:tcPr>
            <w:tcW w:w="767" w:type="dxa"/>
            <w:shd w:val="clear" w:color="auto" w:fill="FFFFFF"/>
            <w:vAlign w:val="center"/>
          </w:tcPr>
          <w:p>
            <w:pPr>
              <w:pStyle w:val="88"/>
            </w:pPr>
            <w:r>
              <w:t xml:space="preserve">801.26 </w:t>
            </w:r>
          </w:p>
        </w:tc>
        <w:tc>
          <w:tcPr>
            <w:tcW w:w="767" w:type="dxa"/>
            <w:shd w:val="clear" w:color="auto" w:fill="FFFFFF"/>
            <w:vAlign w:val="center"/>
          </w:tcPr>
          <w:p>
            <w:pPr>
              <w:pStyle w:val="88"/>
            </w:pPr>
            <w:r>
              <w:t xml:space="preserve">774.08 </w:t>
            </w:r>
          </w:p>
        </w:tc>
        <w:tc>
          <w:tcPr>
            <w:tcW w:w="767" w:type="dxa"/>
            <w:shd w:val="clear" w:color="auto" w:fill="FFFFFF"/>
            <w:vAlign w:val="center"/>
          </w:tcPr>
          <w:p>
            <w:pPr>
              <w:pStyle w:val="88"/>
            </w:pPr>
            <w:r>
              <w:t xml:space="preserve">745.41 </w:t>
            </w:r>
          </w:p>
        </w:tc>
        <w:tc>
          <w:tcPr>
            <w:tcW w:w="767" w:type="dxa"/>
            <w:shd w:val="clear" w:color="auto" w:fill="FFFFFF"/>
            <w:vAlign w:val="center"/>
          </w:tcPr>
          <w:p>
            <w:pPr>
              <w:pStyle w:val="88"/>
            </w:pPr>
            <w:r>
              <w:t xml:space="preserve">715.16 </w:t>
            </w:r>
          </w:p>
        </w:tc>
        <w:tc>
          <w:tcPr>
            <w:tcW w:w="767" w:type="dxa"/>
            <w:shd w:val="clear" w:color="auto" w:fill="FFFFFF"/>
            <w:vAlign w:val="center"/>
          </w:tcPr>
          <w:p>
            <w:pPr>
              <w:pStyle w:val="88"/>
            </w:pPr>
            <w:r>
              <w:t xml:space="preserve">683.25 </w:t>
            </w:r>
          </w:p>
        </w:tc>
        <w:tc>
          <w:tcPr>
            <w:tcW w:w="767" w:type="dxa"/>
            <w:shd w:val="clear" w:color="auto" w:fill="FFFFFF"/>
            <w:vAlign w:val="center"/>
          </w:tcPr>
          <w:p>
            <w:pPr>
              <w:pStyle w:val="88"/>
            </w:pPr>
            <w:r>
              <w:t xml:space="preserve">649.58 </w:t>
            </w:r>
          </w:p>
        </w:tc>
        <w:tc>
          <w:tcPr>
            <w:tcW w:w="767" w:type="dxa"/>
            <w:shd w:val="clear" w:color="auto" w:fill="FFFFFF"/>
            <w:vAlign w:val="center"/>
          </w:tcPr>
          <w:p>
            <w:pPr>
              <w:pStyle w:val="88"/>
            </w:pPr>
            <w:r>
              <w:t xml:space="preserve">614.05 </w:t>
            </w:r>
          </w:p>
        </w:tc>
        <w:tc>
          <w:tcPr>
            <w:tcW w:w="767" w:type="dxa"/>
            <w:shd w:val="clear" w:color="auto" w:fill="FFFFFF"/>
            <w:vAlign w:val="center"/>
          </w:tcPr>
          <w:p>
            <w:pPr>
              <w:pStyle w:val="88"/>
            </w:pPr>
            <w:r>
              <w:t xml:space="preserve">576.58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767" w:type="dxa"/>
            <w:shd w:val="clear" w:color="auto" w:fill="FFFFFF"/>
            <w:vAlign w:val="center"/>
          </w:tcPr>
          <w:p>
            <w:pPr>
              <w:pStyle w:val="88"/>
            </w:pPr>
            <w:r>
              <w:t>年度</w:t>
            </w:r>
          </w:p>
        </w:tc>
        <w:tc>
          <w:tcPr>
            <w:tcW w:w="767" w:type="dxa"/>
            <w:shd w:val="clear" w:color="auto" w:fill="FFFFFF"/>
            <w:vAlign w:val="center"/>
          </w:tcPr>
          <w:p>
            <w:pPr>
              <w:pStyle w:val="88"/>
            </w:pPr>
            <w:r>
              <w:t>2028年</w:t>
            </w:r>
          </w:p>
        </w:tc>
        <w:tc>
          <w:tcPr>
            <w:tcW w:w="767" w:type="dxa"/>
            <w:shd w:val="clear" w:color="auto" w:fill="FFFFFF"/>
            <w:vAlign w:val="center"/>
          </w:tcPr>
          <w:p>
            <w:pPr>
              <w:pStyle w:val="88"/>
            </w:pPr>
            <w:r>
              <w:t>2029年</w:t>
            </w:r>
          </w:p>
        </w:tc>
        <w:tc>
          <w:tcPr>
            <w:tcW w:w="767" w:type="dxa"/>
            <w:shd w:val="clear" w:color="auto" w:fill="FFFFFF"/>
            <w:vAlign w:val="center"/>
          </w:tcPr>
          <w:p>
            <w:pPr>
              <w:pStyle w:val="88"/>
            </w:pPr>
            <w:r>
              <w:t>2030年</w:t>
            </w:r>
          </w:p>
        </w:tc>
        <w:tc>
          <w:tcPr>
            <w:tcW w:w="767" w:type="dxa"/>
            <w:shd w:val="clear" w:color="auto" w:fill="FFFFFF"/>
            <w:vAlign w:val="center"/>
          </w:tcPr>
          <w:p>
            <w:pPr>
              <w:pStyle w:val="88"/>
            </w:pPr>
            <w:r>
              <w:t>2031年</w:t>
            </w:r>
          </w:p>
        </w:tc>
        <w:tc>
          <w:tcPr>
            <w:tcW w:w="767" w:type="dxa"/>
            <w:shd w:val="clear" w:color="auto" w:fill="FFFFFF"/>
            <w:vAlign w:val="center"/>
          </w:tcPr>
          <w:p>
            <w:pPr>
              <w:pStyle w:val="88"/>
            </w:pPr>
            <w:r>
              <w:t>2032年</w:t>
            </w:r>
          </w:p>
        </w:tc>
        <w:tc>
          <w:tcPr>
            <w:tcW w:w="767" w:type="dxa"/>
            <w:shd w:val="clear" w:color="auto" w:fill="FFFFFF"/>
            <w:vAlign w:val="center"/>
          </w:tcPr>
          <w:p>
            <w:pPr>
              <w:pStyle w:val="88"/>
            </w:pPr>
            <w:r>
              <w:t>2033年</w:t>
            </w:r>
          </w:p>
        </w:tc>
        <w:tc>
          <w:tcPr>
            <w:tcW w:w="767" w:type="dxa"/>
            <w:shd w:val="clear" w:color="auto" w:fill="FFFFFF"/>
            <w:vAlign w:val="center"/>
          </w:tcPr>
          <w:p>
            <w:pPr>
              <w:pStyle w:val="88"/>
            </w:pPr>
            <w:r>
              <w:t>2034年</w:t>
            </w:r>
          </w:p>
        </w:tc>
        <w:tc>
          <w:tcPr>
            <w:tcW w:w="767" w:type="dxa"/>
            <w:shd w:val="clear" w:color="auto" w:fill="FFFFFF"/>
            <w:vAlign w:val="center"/>
          </w:tcPr>
          <w:p>
            <w:pPr>
              <w:pStyle w:val="88"/>
            </w:pPr>
            <w:r>
              <w:t>2035年</w:t>
            </w:r>
          </w:p>
        </w:tc>
        <w:tc>
          <w:tcPr>
            <w:tcW w:w="767" w:type="dxa"/>
            <w:shd w:val="clear" w:color="auto" w:fill="FFFFFF"/>
            <w:vAlign w:val="center"/>
          </w:tcPr>
          <w:p>
            <w:pPr>
              <w:pStyle w:val="88"/>
            </w:pPr>
            <w:r>
              <w:t>2036年</w:t>
            </w:r>
          </w:p>
        </w:tc>
        <w:tc>
          <w:tcPr>
            <w:tcW w:w="767" w:type="dxa"/>
            <w:shd w:val="clear" w:color="auto" w:fill="FFFFFF"/>
            <w:vAlign w:val="center"/>
          </w:tcPr>
          <w:p>
            <w:pPr>
              <w:pStyle w:val="88"/>
            </w:pPr>
            <w:r>
              <w:t>2037年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767" w:type="dxa"/>
            <w:shd w:val="clear" w:color="auto" w:fill="FFFFFF"/>
            <w:vAlign w:val="center"/>
          </w:tcPr>
          <w:p>
            <w:pPr>
              <w:pStyle w:val="88"/>
            </w:pPr>
            <w:r>
              <w:rPr>
                <w:rFonts w:hint="eastAsia"/>
              </w:rPr>
              <w:t>本金</w:t>
            </w:r>
          </w:p>
        </w:tc>
        <w:tc>
          <w:tcPr>
            <w:tcW w:w="767" w:type="dxa"/>
            <w:shd w:val="clear" w:color="auto" w:fill="FFFFFF"/>
            <w:vAlign w:val="center"/>
          </w:tcPr>
          <w:p>
            <w:pPr>
              <w:pStyle w:val="88"/>
            </w:pPr>
            <w:r>
              <w:t xml:space="preserve">758.38 </w:t>
            </w:r>
          </w:p>
        </w:tc>
        <w:tc>
          <w:tcPr>
            <w:tcW w:w="767" w:type="dxa"/>
            <w:shd w:val="clear" w:color="auto" w:fill="FFFFFF"/>
            <w:vAlign w:val="center"/>
          </w:tcPr>
          <w:p>
            <w:pPr>
              <w:pStyle w:val="88"/>
            </w:pPr>
            <w:r>
              <w:t xml:space="preserve">800.09 </w:t>
            </w:r>
          </w:p>
        </w:tc>
        <w:tc>
          <w:tcPr>
            <w:tcW w:w="767" w:type="dxa"/>
            <w:shd w:val="clear" w:color="auto" w:fill="FFFFFF"/>
            <w:vAlign w:val="center"/>
          </w:tcPr>
          <w:p>
            <w:pPr>
              <w:pStyle w:val="88"/>
            </w:pPr>
            <w:r>
              <w:t xml:space="preserve">844.09 </w:t>
            </w:r>
          </w:p>
        </w:tc>
        <w:tc>
          <w:tcPr>
            <w:tcW w:w="767" w:type="dxa"/>
            <w:shd w:val="clear" w:color="auto" w:fill="FFFFFF"/>
            <w:vAlign w:val="center"/>
          </w:tcPr>
          <w:p>
            <w:pPr>
              <w:pStyle w:val="88"/>
            </w:pPr>
            <w:r>
              <w:t xml:space="preserve">890.52 </w:t>
            </w:r>
          </w:p>
        </w:tc>
        <w:tc>
          <w:tcPr>
            <w:tcW w:w="767" w:type="dxa"/>
            <w:shd w:val="clear" w:color="auto" w:fill="FFFFFF"/>
            <w:vAlign w:val="center"/>
          </w:tcPr>
          <w:p>
            <w:pPr>
              <w:pStyle w:val="88"/>
            </w:pPr>
            <w:r>
              <w:t xml:space="preserve">939.50 </w:t>
            </w:r>
          </w:p>
        </w:tc>
        <w:tc>
          <w:tcPr>
            <w:tcW w:w="767" w:type="dxa"/>
            <w:shd w:val="clear" w:color="auto" w:fill="FFFFFF"/>
            <w:vAlign w:val="center"/>
          </w:tcPr>
          <w:p>
            <w:pPr>
              <w:pStyle w:val="88"/>
            </w:pPr>
            <w:r>
              <w:t xml:space="preserve">991.17 </w:t>
            </w:r>
          </w:p>
        </w:tc>
        <w:tc>
          <w:tcPr>
            <w:tcW w:w="767" w:type="dxa"/>
            <w:shd w:val="clear" w:color="auto" w:fill="FFFFFF"/>
            <w:vAlign w:val="center"/>
          </w:tcPr>
          <w:p>
            <w:pPr>
              <w:pStyle w:val="88"/>
            </w:pPr>
            <w:r>
              <w:t xml:space="preserve">1045.68 </w:t>
            </w:r>
          </w:p>
        </w:tc>
        <w:tc>
          <w:tcPr>
            <w:tcW w:w="767" w:type="dxa"/>
            <w:shd w:val="clear" w:color="auto" w:fill="FFFFFF"/>
            <w:vAlign w:val="center"/>
          </w:tcPr>
          <w:p>
            <w:pPr>
              <w:pStyle w:val="88"/>
            </w:pPr>
            <w:r>
              <w:t xml:space="preserve">1103.20 </w:t>
            </w:r>
          </w:p>
        </w:tc>
        <w:tc>
          <w:tcPr>
            <w:tcW w:w="767" w:type="dxa"/>
            <w:shd w:val="clear" w:color="auto" w:fill="FFFFFF"/>
            <w:vAlign w:val="center"/>
          </w:tcPr>
          <w:p>
            <w:pPr>
              <w:pStyle w:val="88"/>
            </w:pPr>
            <w:r>
              <w:t xml:space="preserve">1163.87 </w:t>
            </w:r>
          </w:p>
        </w:tc>
        <w:tc>
          <w:tcPr>
            <w:tcW w:w="767" w:type="dxa"/>
            <w:shd w:val="clear" w:color="auto" w:fill="FFFFFF"/>
            <w:vAlign w:val="center"/>
          </w:tcPr>
          <w:p>
            <w:pPr>
              <w:pStyle w:val="88"/>
            </w:pPr>
            <w:r>
              <w:t xml:space="preserve">1227.92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767" w:type="dxa"/>
            <w:tcBorders>
              <w:bottom w:val="double" w:color="auto" w:sz="4" w:space="0"/>
            </w:tcBorders>
            <w:shd w:val="clear" w:color="auto" w:fill="FFFFFF"/>
            <w:vAlign w:val="center"/>
          </w:tcPr>
          <w:p>
            <w:pPr>
              <w:pStyle w:val="88"/>
            </w:pPr>
            <w:r>
              <w:rPr>
                <w:rFonts w:hint="eastAsia"/>
              </w:rPr>
              <w:t>利息</w:t>
            </w:r>
          </w:p>
        </w:tc>
        <w:tc>
          <w:tcPr>
            <w:tcW w:w="767" w:type="dxa"/>
            <w:tcBorders>
              <w:bottom w:val="double" w:color="auto" w:sz="4" w:space="0"/>
            </w:tcBorders>
            <w:shd w:val="clear" w:color="auto" w:fill="FFFFFF"/>
            <w:vAlign w:val="center"/>
          </w:tcPr>
          <w:p>
            <w:pPr>
              <w:pStyle w:val="88"/>
            </w:pPr>
            <w:r>
              <w:t xml:space="preserve">537.04 </w:t>
            </w:r>
          </w:p>
        </w:tc>
        <w:tc>
          <w:tcPr>
            <w:tcW w:w="767" w:type="dxa"/>
            <w:tcBorders>
              <w:bottom w:val="double" w:color="auto" w:sz="4" w:space="0"/>
            </w:tcBorders>
            <w:shd w:val="clear" w:color="auto" w:fill="FFFFFF"/>
            <w:vAlign w:val="center"/>
          </w:tcPr>
          <w:p>
            <w:pPr>
              <w:pStyle w:val="88"/>
            </w:pPr>
            <w:r>
              <w:t xml:space="preserve">495.33 </w:t>
            </w:r>
          </w:p>
        </w:tc>
        <w:tc>
          <w:tcPr>
            <w:tcW w:w="767" w:type="dxa"/>
            <w:tcBorders>
              <w:bottom w:val="double" w:color="auto" w:sz="4" w:space="0"/>
            </w:tcBorders>
            <w:shd w:val="clear" w:color="auto" w:fill="FFFFFF"/>
            <w:vAlign w:val="center"/>
          </w:tcPr>
          <w:p>
            <w:pPr>
              <w:pStyle w:val="88"/>
            </w:pPr>
            <w:r>
              <w:t xml:space="preserve">451.33 </w:t>
            </w:r>
          </w:p>
        </w:tc>
        <w:tc>
          <w:tcPr>
            <w:tcW w:w="767" w:type="dxa"/>
            <w:tcBorders>
              <w:bottom w:val="double" w:color="auto" w:sz="4" w:space="0"/>
            </w:tcBorders>
            <w:shd w:val="clear" w:color="auto" w:fill="FFFFFF"/>
            <w:vAlign w:val="center"/>
          </w:tcPr>
          <w:p>
            <w:pPr>
              <w:pStyle w:val="88"/>
            </w:pPr>
            <w:r>
              <w:t xml:space="preserve">404.90 </w:t>
            </w:r>
          </w:p>
        </w:tc>
        <w:tc>
          <w:tcPr>
            <w:tcW w:w="767" w:type="dxa"/>
            <w:tcBorders>
              <w:bottom w:val="double" w:color="auto" w:sz="4" w:space="0"/>
            </w:tcBorders>
            <w:shd w:val="clear" w:color="auto" w:fill="FFFFFF"/>
            <w:vAlign w:val="center"/>
          </w:tcPr>
          <w:p>
            <w:pPr>
              <w:pStyle w:val="88"/>
            </w:pPr>
            <w:r>
              <w:t xml:space="preserve">355.92 </w:t>
            </w:r>
          </w:p>
        </w:tc>
        <w:tc>
          <w:tcPr>
            <w:tcW w:w="767" w:type="dxa"/>
            <w:tcBorders>
              <w:bottom w:val="double" w:color="auto" w:sz="4" w:space="0"/>
            </w:tcBorders>
            <w:shd w:val="clear" w:color="auto" w:fill="FFFFFF"/>
            <w:vAlign w:val="center"/>
          </w:tcPr>
          <w:p>
            <w:pPr>
              <w:pStyle w:val="88"/>
            </w:pPr>
            <w:r>
              <w:t xml:space="preserve">304.25 </w:t>
            </w:r>
          </w:p>
        </w:tc>
        <w:tc>
          <w:tcPr>
            <w:tcW w:w="767" w:type="dxa"/>
            <w:tcBorders>
              <w:bottom w:val="double" w:color="auto" w:sz="4" w:space="0"/>
            </w:tcBorders>
            <w:shd w:val="clear" w:color="auto" w:fill="FFFFFF"/>
            <w:vAlign w:val="center"/>
          </w:tcPr>
          <w:p>
            <w:pPr>
              <w:pStyle w:val="88"/>
            </w:pPr>
            <w:r>
              <w:t xml:space="preserve">249.74 </w:t>
            </w:r>
          </w:p>
        </w:tc>
        <w:tc>
          <w:tcPr>
            <w:tcW w:w="767" w:type="dxa"/>
            <w:tcBorders>
              <w:bottom w:val="double" w:color="auto" w:sz="4" w:space="0"/>
            </w:tcBorders>
            <w:shd w:val="clear" w:color="auto" w:fill="FFFFFF"/>
            <w:vAlign w:val="center"/>
          </w:tcPr>
          <w:p>
            <w:pPr>
              <w:pStyle w:val="88"/>
            </w:pPr>
            <w:r>
              <w:t xml:space="preserve">192.22 </w:t>
            </w:r>
          </w:p>
        </w:tc>
        <w:tc>
          <w:tcPr>
            <w:tcW w:w="767" w:type="dxa"/>
            <w:tcBorders>
              <w:bottom w:val="double" w:color="auto" w:sz="4" w:space="0"/>
            </w:tcBorders>
            <w:shd w:val="clear" w:color="auto" w:fill="FFFFFF"/>
            <w:vAlign w:val="center"/>
          </w:tcPr>
          <w:p>
            <w:pPr>
              <w:pStyle w:val="88"/>
            </w:pPr>
            <w:r>
              <w:t xml:space="preserve">131.55 </w:t>
            </w:r>
          </w:p>
        </w:tc>
        <w:tc>
          <w:tcPr>
            <w:tcW w:w="767" w:type="dxa"/>
            <w:tcBorders>
              <w:bottom w:val="double" w:color="auto" w:sz="4" w:space="0"/>
            </w:tcBorders>
            <w:shd w:val="clear" w:color="auto" w:fill="FFFFFF"/>
            <w:vAlign w:val="center"/>
          </w:tcPr>
          <w:p>
            <w:pPr>
              <w:pStyle w:val="88"/>
            </w:pPr>
            <w:r>
              <w:t xml:space="preserve">67.53 </w:t>
            </w:r>
          </w:p>
        </w:tc>
      </w:tr>
    </w:tbl>
    <w:p>
      <w:pPr>
        <w:pStyle w:val="3"/>
        <w:spacing w:before="200" w:after="200" w:line="560" w:lineRule="exact"/>
        <w:ind w:firstLine="562"/>
        <w:jc w:val="left"/>
        <w:rPr>
          <w:rFonts w:ascii="Times New Roman" w:hAnsi="Times New Roman"/>
          <w:szCs w:val="28"/>
        </w:rPr>
      </w:pPr>
      <w:bookmarkStart w:id="354" w:name="_Toc25328"/>
      <w:bookmarkStart w:id="355" w:name="_Toc468088685"/>
      <w:bookmarkStart w:id="356" w:name="_Toc1935"/>
      <w:bookmarkStart w:id="357" w:name="_Toc10316"/>
      <w:bookmarkStart w:id="358" w:name="_Toc23174"/>
      <w:bookmarkStart w:id="359" w:name="_Toc21211"/>
      <w:bookmarkStart w:id="360" w:name="_Toc448074877"/>
      <w:bookmarkStart w:id="361" w:name="_Toc452106705"/>
      <w:r>
        <w:rPr>
          <w:rFonts w:ascii="Times New Roman" w:hAnsi="Times New Roman"/>
          <w:szCs w:val="28"/>
        </w:rPr>
        <w:t xml:space="preserve">8.6 </w:t>
      </w:r>
      <w:bookmarkEnd w:id="354"/>
      <w:r>
        <w:rPr>
          <w:rFonts w:ascii="Times New Roman" w:hAnsi="Times New Roman"/>
          <w:szCs w:val="28"/>
        </w:rPr>
        <w:t>可行性缺口补助</w:t>
      </w:r>
      <w:bookmarkEnd w:id="355"/>
      <w:bookmarkEnd w:id="356"/>
      <w:bookmarkEnd w:id="357"/>
      <w:bookmarkEnd w:id="358"/>
      <w:bookmarkEnd w:id="359"/>
    </w:p>
    <w:p>
      <w:pPr>
        <w:ind w:firstLine="560"/>
        <w:rPr>
          <w:rFonts w:ascii="Times New Roman" w:hAnsi="Times New Roman"/>
          <w:szCs w:val="28"/>
        </w:rPr>
      </w:pPr>
      <w:r>
        <w:rPr>
          <w:rFonts w:ascii="Times New Roman" w:hAnsi="Times New Roman"/>
          <w:szCs w:val="28"/>
        </w:rPr>
        <w:t>本项目经营收益计算期20年(2018～2037年），回报机制为可行性缺口补助，其中政府补贴包括储备粮保管，储备油罐仓储，低温仓成品粮仓储；项目特许经营包括：粮食加工及销售、粮食加工副产品及销售、仓库出租、临街商铺出租收入等。</w:t>
      </w:r>
    </w:p>
    <w:p>
      <w:pPr>
        <w:ind w:firstLine="560"/>
        <w:rPr>
          <w:rFonts w:ascii="Times New Roman" w:hAnsi="Times New Roman"/>
          <w:szCs w:val="28"/>
        </w:rPr>
      </w:pPr>
      <w:r>
        <w:rPr>
          <w:rFonts w:ascii="Times New Roman" w:hAnsi="Times New Roman"/>
          <w:szCs w:val="28"/>
        </w:rPr>
        <w:t>按照本方案“4.4.2 可行性缺口补助”拟定的补助方案，政府在运营期内补助总额为</w:t>
      </w:r>
      <w:r>
        <w:rPr>
          <w:rFonts w:hint="eastAsia" w:ascii="Times New Roman" w:hAnsi="Times New Roman"/>
          <w:szCs w:val="28"/>
        </w:rPr>
        <w:t>11542.96</w:t>
      </w:r>
      <w:r>
        <w:rPr>
          <w:rFonts w:ascii="Times New Roman" w:hAnsi="Times New Roman"/>
          <w:szCs w:val="28"/>
        </w:rPr>
        <w:t>万元，各年度补助金额如下表所示：</w:t>
      </w:r>
    </w:p>
    <w:p>
      <w:pPr>
        <w:pStyle w:val="82"/>
      </w:pPr>
      <w:r>
        <w:t>可行性缺口补助测算表</w:t>
      </w:r>
    </w:p>
    <w:tbl>
      <w:tblPr>
        <w:tblStyle w:val="22"/>
        <w:tblW w:w="8342"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834"/>
        <w:gridCol w:w="834"/>
        <w:gridCol w:w="834"/>
        <w:gridCol w:w="834"/>
        <w:gridCol w:w="835"/>
        <w:gridCol w:w="834"/>
        <w:gridCol w:w="834"/>
        <w:gridCol w:w="834"/>
        <w:gridCol w:w="834"/>
        <w:gridCol w:w="83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834" w:type="dxa"/>
            <w:tcBorders>
              <w:top w:val="double" w:color="auto" w:sz="4" w:space="0"/>
            </w:tcBorders>
            <w:shd w:val="clear" w:color="auto" w:fill="FFFFFF"/>
            <w:vAlign w:val="center"/>
          </w:tcPr>
          <w:p>
            <w:pPr>
              <w:pStyle w:val="88"/>
            </w:pPr>
            <w:r>
              <w:t>2018年</w:t>
            </w:r>
          </w:p>
        </w:tc>
        <w:tc>
          <w:tcPr>
            <w:tcW w:w="834" w:type="dxa"/>
            <w:tcBorders>
              <w:top w:val="double" w:color="auto" w:sz="4" w:space="0"/>
            </w:tcBorders>
            <w:shd w:val="clear" w:color="auto" w:fill="FFFFFF"/>
            <w:vAlign w:val="center"/>
          </w:tcPr>
          <w:p>
            <w:pPr>
              <w:pStyle w:val="88"/>
            </w:pPr>
            <w:r>
              <w:t>2019年</w:t>
            </w:r>
          </w:p>
        </w:tc>
        <w:tc>
          <w:tcPr>
            <w:tcW w:w="834" w:type="dxa"/>
            <w:tcBorders>
              <w:top w:val="double" w:color="auto" w:sz="4" w:space="0"/>
            </w:tcBorders>
            <w:shd w:val="clear" w:color="auto" w:fill="FFFFFF"/>
            <w:vAlign w:val="center"/>
          </w:tcPr>
          <w:p>
            <w:pPr>
              <w:pStyle w:val="88"/>
            </w:pPr>
            <w:r>
              <w:t>2020年</w:t>
            </w:r>
          </w:p>
        </w:tc>
        <w:tc>
          <w:tcPr>
            <w:tcW w:w="834" w:type="dxa"/>
            <w:tcBorders>
              <w:top w:val="double" w:color="auto" w:sz="4" w:space="0"/>
            </w:tcBorders>
            <w:shd w:val="clear" w:color="auto" w:fill="FFFFFF"/>
            <w:vAlign w:val="center"/>
          </w:tcPr>
          <w:p>
            <w:pPr>
              <w:pStyle w:val="88"/>
            </w:pPr>
            <w:r>
              <w:t>2021年</w:t>
            </w:r>
          </w:p>
        </w:tc>
        <w:tc>
          <w:tcPr>
            <w:tcW w:w="835" w:type="dxa"/>
            <w:tcBorders>
              <w:top w:val="double" w:color="auto" w:sz="4" w:space="0"/>
            </w:tcBorders>
            <w:shd w:val="clear" w:color="auto" w:fill="FFFFFF"/>
            <w:vAlign w:val="center"/>
          </w:tcPr>
          <w:p>
            <w:pPr>
              <w:pStyle w:val="88"/>
            </w:pPr>
            <w:r>
              <w:t>2022年</w:t>
            </w:r>
          </w:p>
        </w:tc>
        <w:tc>
          <w:tcPr>
            <w:tcW w:w="834" w:type="dxa"/>
            <w:tcBorders>
              <w:top w:val="double" w:color="auto" w:sz="4" w:space="0"/>
            </w:tcBorders>
            <w:shd w:val="clear" w:color="auto" w:fill="FFFFFF"/>
            <w:vAlign w:val="center"/>
          </w:tcPr>
          <w:p>
            <w:pPr>
              <w:pStyle w:val="88"/>
            </w:pPr>
            <w:r>
              <w:t>2023年</w:t>
            </w:r>
          </w:p>
        </w:tc>
        <w:tc>
          <w:tcPr>
            <w:tcW w:w="834" w:type="dxa"/>
            <w:tcBorders>
              <w:top w:val="double" w:color="auto" w:sz="4" w:space="0"/>
            </w:tcBorders>
            <w:shd w:val="clear" w:color="auto" w:fill="FFFFFF"/>
            <w:vAlign w:val="center"/>
          </w:tcPr>
          <w:p>
            <w:pPr>
              <w:pStyle w:val="88"/>
            </w:pPr>
            <w:r>
              <w:t>2024年</w:t>
            </w:r>
          </w:p>
        </w:tc>
        <w:tc>
          <w:tcPr>
            <w:tcW w:w="834" w:type="dxa"/>
            <w:tcBorders>
              <w:top w:val="double" w:color="auto" w:sz="4" w:space="0"/>
            </w:tcBorders>
            <w:shd w:val="clear" w:color="auto" w:fill="FFFFFF"/>
            <w:vAlign w:val="center"/>
          </w:tcPr>
          <w:p>
            <w:pPr>
              <w:pStyle w:val="88"/>
            </w:pPr>
            <w:r>
              <w:t>2025年</w:t>
            </w:r>
          </w:p>
        </w:tc>
        <w:tc>
          <w:tcPr>
            <w:tcW w:w="834" w:type="dxa"/>
            <w:tcBorders>
              <w:top w:val="double" w:color="auto" w:sz="4" w:space="0"/>
            </w:tcBorders>
            <w:shd w:val="clear" w:color="auto" w:fill="FFFFFF"/>
            <w:vAlign w:val="center"/>
          </w:tcPr>
          <w:p>
            <w:pPr>
              <w:pStyle w:val="88"/>
            </w:pPr>
            <w:r>
              <w:t>2026年</w:t>
            </w:r>
          </w:p>
        </w:tc>
        <w:tc>
          <w:tcPr>
            <w:tcW w:w="835" w:type="dxa"/>
            <w:tcBorders>
              <w:top w:val="double" w:color="auto" w:sz="4" w:space="0"/>
            </w:tcBorders>
            <w:shd w:val="clear" w:color="auto" w:fill="FFFFFF"/>
            <w:vAlign w:val="center"/>
          </w:tcPr>
          <w:p>
            <w:pPr>
              <w:pStyle w:val="88"/>
            </w:pPr>
            <w:r>
              <w:t>2027年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834" w:type="dxa"/>
            <w:shd w:val="clear" w:color="auto" w:fill="FFFFFF"/>
            <w:vAlign w:val="center"/>
          </w:tcPr>
          <w:p>
            <w:pPr>
              <w:pStyle w:val="88"/>
            </w:pPr>
            <w:r>
              <w:t xml:space="preserve">994.32 </w:t>
            </w:r>
          </w:p>
        </w:tc>
        <w:tc>
          <w:tcPr>
            <w:tcW w:w="834" w:type="dxa"/>
            <w:shd w:val="clear" w:color="auto" w:fill="FFFFFF"/>
            <w:vAlign w:val="center"/>
          </w:tcPr>
          <w:p>
            <w:pPr>
              <w:pStyle w:val="88"/>
            </w:pPr>
            <w:r>
              <w:t xml:space="preserve">990.76 </w:t>
            </w:r>
          </w:p>
        </w:tc>
        <w:tc>
          <w:tcPr>
            <w:tcW w:w="834" w:type="dxa"/>
            <w:shd w:val="clear" w:color="auto" w:fill="FFFFFF"/>
            <w:vAlign w:val="center"/>
          </w:tcPr>
          <w:p>
            <w:pPr>
              <w:pStyle w:val="88"/>
            </w:pPr>
            <w:r>
              <w:t xml:space="preserve">987.03 </w:t>
            </w:r>
          </w:p>
        </w:tc>
        <w:tc>
          <w:tcPr>
            <w:tcW w:w="834" w:type="dxa"/>
            <w:shd w:val="clear" w:color="auto" w:fill="FFFFFF"/>
            <w:vAlign w:val="center"/>
          </w:tcPr>
          <w:p>
            <w:pPr>
              <w:pStyle w:val="88"/>
            </w:pPr>
            <w:r>
              <w:t xml:space="preserve">983.12 </w:t>
            </w:r>
          </w:p>
        </w:tc>
        <w:tc>
          <w:tcPr>
            <w:tcW w:w="835" w:type="dxa"/>
            <w:shd w:val="clear" w:color="auto" w:fill="FFFFFF"/>
            <w:vAlign w:val="center"/>
          </w:tcPr>
          <w:p>
            <w:pPr>
              <w:pStyle w:val="88"/>
            </w:pPr>
            <w:r>
              <w:t xml:space="preserve">981.00 </w:t>
            </w:r>
          </w:p>
        </w:tc>
        <w:tc>
          <w:tcPr>
            <w:tcW w:w="834" w:type="dxa"/>
            <w:shd w:val="clear" w:color="auto" w:fill="FFFFFF"/>
            <w:vAlign w:val="center"/>
          </w:tcPr>
          <w:p>
            <w:pPr>
              <w:pStyle w:val="88"/>
            </w:pPr>
            <w:r>
              <w:t xml:space="preserve">641.47 </w:t>
            </w:r>
          </w:p>
        </w:tc>
        <w:tc>
          <w:tcPr>
            <w:tcW w:w="834" w:type="dxa"/>
            <w:shd w:val="clear" w:color="auto" w:fill="FFFFFF"/>
            <w:vAlign w:val="center"/>
          </w:tcPr>
          <w:p>
            <w:pPr>
              <w:pStyle w:val="88"/>
            </w:pPr>
            <w:r>
              <w:t xml:space="preserve">634.49 </w:t>
            </w:r>
          </w:p>
        </w:tc>
        <w:tc>
          <w:tcPr>
            <w:tcW w:w="834" w:type="dxa"/>
            <w:shd w:val="clear" w:color="auto" w:fill="FFFFFF"/>
            <w:vAlign w:val="center"/>
          </w:tcPr>
          <w:p>
            <w:pPr>
              <w:pStyle w:val="88"/>
            </w:pPr>
            <w:r>
              <w:t xml:space="preserve">627.17 </w:t>
            </w:r>
          </w:p>
        </w:tc>
        <w:tc>
          <w:tcPr>
            <w:tcW w:w="834" w:type="dxa"/>
            <w:shd w:val="clear" w:color="auto" w:fill="FFFFFF"/>
            <w:vAlign w:val="center"/>
          </w:tcPr>
          <w:p>
            <w:pPr>
              <w:pStyle w:val="88"/>
            </w:pPr>
            <w:r>
              <w:t xml:space="preserve">662.94 </w:t>
            </w:r>
          </w:p>
        </w:tc>
        <w:tc>
          <w:tcPr>
            <w:tcW w:w="835" w:type="dxa"/>
            <w:shd w:val="clear" w:color="auto" w:fill="FFFFFF"/>
            <w:vAlign w:val="center"/>
          </w:tcPr>
          <w:p>
            <w:pPr>
              <w:pStyle w:val="88"/>
            </w:pPr>
            <w:r>
              <w:t xml:space="preserve">667.33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834" w:type="dxa"/>
            <w:shd w:val="clear" w:color="auto" w:fill="FFFFFF"/>
            <w:vAlign w:val="center"/>
          </w:tcPr>
          <w:p>
            <w:pPr>
              <w:pStyle w:val="88"/>
            </w:pPr>
            <w:r>
              <w:t>2028年</w:t>
            </w:r>
          </w:p>
        </w:tc>
        <w:tc>
          <w:tcPr>
            <w:tcW w:w="834" w:type="dxa"/>
            <w:shd w:val="clear" w:color="auto" w:fill="FFFFFF"/>
            <w:vAlign w:val="center"/>
          </w:tcPr>
          <w:p>
            <w:pPr>
              <w:pStyle w:val="88"/>
            </w:pPr>
            <w:r>
              <w:t>2029年</w:t>
            </w:r>
          </w:p>
        </w:tc>
        <w:tc>
          <w:tcPr>
            <w:tcW w:w="834" w:type="dxa"/>
            <w:shd w:val="clear" w:color="auto" w:fill="FFFFFF"/>
            <w:vAlign w:val="center"/>
          </w:tcPr>
          <w:p>
            <w:pPr>
              <w:pStyle w:val="88"/>
            </w:pPr>
            <w:r>
              <w:t>2030年</w:t>
            </w:r>
          </w:p>
        </w:tc>
        <w:tc>
          <w:tcPr>
            <w:tcW w:w="834" w:type="dxa"/>
            <w:shd w:val="clear" w:color="auto" w:fill="FFFFFF"/>
            <w:vAlign w:val="center"/>
          </w:tcPr>
          <w:p>
            <w:pPr>
              <w:pStyle w:val="88"/>
            </w:pPr>
            <w:r>
              <w:t>2031年</w:t>
            </w:r>
          </w:p>
        </w:tc>
        <w:tc>
          <w:tcPr>
            <w:tcW w:w="835" w:type="dxa"/>
            <w:shd w:val="clear" w:color="auto" w:fill="FFFFFF"/>
            <w:vAlign w:val="center"/>
          </w:tcPr>
          <w:p>
            <w:pPr>
              <w:pStyle w:val="88"/>
            </w:pPr>
            <w:r>
              <w:t>2032年</w:t>
            </w:r>
          </w:p>
        </w:tc>
        <w:tc>
          <w:tcPr>
            <w:tcW w:w="834" w:type="dxa"/>
            <w:shd w:val="clear" w:color="auto" w:fill="FFFFFF"/>
            <w:vAlign w:val="center"/>
          </w:tcPr>
          <w:p>
            <w:pPr>
              <w:pStyle w:val="88"/>
            </w:pPr>
            <w:r>
              <w:t>2033年</w:t>
            </w:r>
          </w:p>
        </w:tc>
        <w:tc>
          <w:tcPr>
            <w:tcW w:w="834" w:type="dxa"/>
            <w:shd w:val="clear" w:color="auto" w:fill="FFFFFF"/>
            <w:vAlign w:val="center"/>
          </w:tcPr>
          <w:p>
            <w:pPr>
              <w:pStyle w:val="88"/>
            </w:pPr>
            <w:r>
              <w:t>2034年</w:t>
            </w:r>
          </w:p>
        </w:tc>
        <w:tc>
          <w:tcPr>
            <w:tcW w:w="834" w:type="dxa"/>
            <w:shd w:val="clear" w:color="auto" w:fill="FFFFFF"/>
            <w:vAlign w:val="center"/>
          </w:tcPr>
          <w:p>
            <w:pPr>
              <w:pStyle w:val="88"/>
            </w:pPr>
            <w:r>
              <w:t>2035年</w:t>
            </w:r>
          </w:p>
        </w:tc>
        <w:tc>
          <w:tcPr>
            <w:tcW w:w="834" w:type="dxa"/>
            <w:shd w:val="clear" w:color="auto" w:fill="FFFFFF"/>
            <w:vAlign w:val="center"/>
          </w:tcPr>
          <w:p>
            <w:pPr>
              <w:pStyle w:val="88"/>
            </w:pPr>
            <w:r>
              <w:t>2036年</w:t>
            </w:r>
          </w:p>
        </w:tc>
        <w:tc>
          <w:tcPr>
            <w:tcW w:w="835" w:type="dxa"/>
            <w:shd w:val="clear" w:color="auto" w:fill="FFFFFF"/>
            <w:vAlign w:val="center"/>
          </w:tcPr>
          <w:p>
            <w:pPr>
              <w:pStyle w:val="88"/>
            </w:pPr>
            <w:r>
              <w:t>2037年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834" w:type="dxa"/>
            <w:tcBorders>
              <w:bottom w:val="double" w:color="auto" w:sz="4" w:space="0"/>
            </w:tcBorders>
            <w:shd w:val="clear" w:color="auto" w:fill="FFFFFF"/>
            <w:vAlign w:val="center"/>
          </w:tcPr>
          <w:p>
            <w:pPr>
              <w:pStyle w:val="88"/>
            </w:pPr>
            <w:r>
              <w:t xml:space="preserve">432.53 </w:t>
            </w:r>
          </w:p>
        </w:tc>
        <w:tc>
          <w:tcPr>
            <w:tcW w:w="834" w:type="dxa"/>
            <w:tcBorders>
              <w:bottom w:val="double" w:color="auto" w:sz="4" w:space="0"/>
            </w:tcBorders>
            <w:shd w:val="clear" w:color="auto" w:fill="FFFFFF"/>
            <w:vAlign w:val="center"/>
          </w:tcPr>
          <w:p>
            <w:pPr>
              <w:pStyle w:val="88"/>
            </w:pPr>
            <w:r>
              <w:t xml:space="preserve">435.76 </w:t>
            </w:r>
          </w:p>
        </w:tc>
        <w:tc>
          <w:tcPr>
            <w:tcW w:w="834" w:type="dxa"/>
            <w:tcBorders>
              <w:bottom w:val="double" w:color="auto" w:sz="4" w:space="0"/>
            </w:tcBorders>
            <w:shd w:val="clear" w:color="auto" w:fill="FFFFFF"/>
            <w:vAlign w:val="center"/>
          </w:tcPr>
          <w:p>
            <w:pPr>
              <w:pStyle w:val="88"/>
            </w:pPr>
            <w:r>
              <w:t xml:space="preserve">439.20 </w:t>
            </w:r>
          </w:p>
        </w:tc>
        <w:tc>
          <w:tcPr>
            <w:tcW w:w="834" w:type="dxa"/>
            <w:tcBorders>
              <w:bottom w:val="double" w:color="auto" w:sz="4" w:space="0"/>
            </w:tcBorders>
            <w:shd w:val="clear" w:color="auto" w:fill="FFFFFF"/>
            <w:vAlign w:val="center"/>
          </w:tcPr>
          <w:p>
            <w:pPr>
              <w:pStyle w:val="88"/>
            </w:pPr>
            <w:r>
              <w:t xml:space="preserve">442.89 </w:t>
            </w:r>
          </w:p>
        </w:tc>
        <w:tc>
          <w:tcPr>
            <w:tcW w:w="835" w:type="dxa"/>
            <w:tcBorders>
              <w:bottom w:val="double" w:color="auto" w:sz="4" w:space="0"/>
            </w:tcBorders>
            <w:shd w:val="clear" w:color="auto" w:fill="FFFFFF"/>
            <w:vAlign w:val="center"/>
          </w:tcPr>
          <w:p>
            <w:pPr>
              <w:pStyle w:val="88"/>
            </w:pPr>
            <w:r>
              <w:t xml:space="preserve">446.83 </w:t>
            </w:r>
          </w:p>
        </w:tc>
        <w:tc>
          <w:tcPr>
            <w:tcW w:w="834" w:type="dxa"/>
            <w:tcBorders>
              <w:bottom w:val="double" w:color="auto" w:sz="4" w:space="0"/>
            </w:tcBorders>
            <w:shd w:val="clear" w:color="auto" w:fill="FFFFFF"/>
            <w:vAlign w:val="center"/>
          </w:tcPr>
          <w:p>
            <w:pPr>
              <w:pStyle w:val="88"/>
            </w:pPr>
            <w:r>
              <w:t xml:space="preserve">196.83 </w:t>
            </w:r>
          </w:p>
        </w:tc>
        <w:tc>
          <w:tcPr>
            <w:tcW w:w="834" w:type="dxa"/>
            <w:tcBorders>
              <w:bottom w:val="double" w:color="auto" w:sz="4" w:space="0"/>
            </w:tcBorders>
            <w:shd w:val="clear" w:color="auto" w:fill="FFFFFF"/>
            <w:vAlign w:val="center"/>
          </w:tcPr>
          <w:p>
            <w:pPr>
              <w:pStyle w:val="88"/>
            </w:pPr>
            <w:r>
              <w:t xml:space="preserve">215.00 </w:t>
            </w:r>
          </w:p>
        </w:tc>
        <w:tc>
          <w:tcPr>
            <w:tcW w:w="834" w:type="dxa"/>
            <w:tcBorders>
              <w:bottom w:val="double" w:color="auto" w:sz="4" w:space="0"/>
            </w:tcBorders>
            <w:shd w:val="clear" w:color="auto" w:fill="FFFFFF"/>
            <w:vAlign w:val="center"/>
          </w:tcPr>
          <w:p>
            <w:pPr>
              <w:pStyle w:val="88"/>
            </w:pPr>
            <w:r>
              <w:t xml:space="preserve">234.17 </w:t>
            </w:r>
          </w:p>
        </w:tc>
        <w:tc>
          <w:tcPr>
            <w:tcW w:w="834" w:type="dxa"/>
            <w:tcBorders>
              <w:bottom w:val="double" w:color="auto" w:sz="4" w:space="0"/>
            </w:tcBorders>
            <w:shd w:val="clear" w:color="auto" w:fill="FFFFFF"/>
            <w:vAlign w:val="center"/>
          </w:tcPr>
          <w:p>
            <w:pPr>
              <w:pStyle w:val="88"/>
            </w:pPr>
            <w:r>
              <w:t xml:space="preserve">254.39 </w:t>
            </w:r>
          </w:p>
        </w:tc>
        <w:tc>
          <w:tcPr>
            <w:tcW w:w="835" w:type="dxa"/>
            <w:tcBorders>
              <w:bottom w:val="double" w:color="auto" w:sz="4" w:space="0"/>
            </w:tcBorders>
            <w:shd w:val="clear" w:color="auto" w:fill="FFFFFF"/>
            <w:vAlign w:val="center"/>
          </w:tcPr>
          <w:p>
            <w:pPr>
              <w:pStyle w:val="88"/>
            </w:pPr>
            <w:r>
              <w:t xml:space="preserve">275.73 </w:t>
            </w:r>
          </w:p>
        </w:tc>
      </w:tr>
      <w:bookmarkEnd w:id="360"/>
      <w:bookmarkEnd w:id="361"/>
    </w:tbl>
    <w:p>
      <w:pPr>
        <w:ind w:firstLine="560"/>
        <w:rPr>
          <w:rFonts w:ascii="Times New Roman" w:hAnsi="Times New Roman"/>
          <w:szCs w:val="28"/>
        </w:rPr>
      </w:pPr>
      <w:bookmarkStart w:id="362" w:name="_Toc452106707"/>
      <w:bookmarkStart w:id="363" w:name="_Toc9361"/>
      <w:bookmarkStart w:id="364" w:name="_Toc8850"/>
      <w:r>
        <w:rPr>
          <w:rFonts w:ascii="Times New Roman" w:hAnsi="Times New Roman"/>
          <w:szCs w:val="28"/>
        </w:rPr>
        <w:t>根据本项目粮食储备及加工的行业及政策特性，本项目财务测算财政补贴支出中均未计列“储备粮收储利息及轮换亏损支出、储备粮利费补贴”的费用，财务测算中的政府补贴不包含上述两项开支。</w:t>
      </w:r>
    </w:p>
    <w:p>
      <w:pPr>
        <w:pStyle w:val="3"/>
        <w:spacing w:before="200" w:after="200" w:line="560" w:lineRule="exact"/>
        <w:ind w:firstLine="562"/>
        <w:jc w:val="left"/>
        <w:rPr>
          <w:rFonts w:ascii="Times New Roman" w:hAnsi="Times New Roman"/>
          <w:szCs w:val="28"/>
        </w:rPr>
      </w:pPr>
      <w:bookmarkStart w:id="365" w:name="_Toc468088686"/>
      <w:bookmarkStart w:id="366" w:name="_Toc10808"/>
      <w:bookmarkStart w:id="367" w:name="_Toc928"/>
      <w:r>
        <w:rPr>
          <w:rFonts w:ascii="Times New Roman" w:hAnsi="Times New Roman"/>
          <w:szCs w:val="28"/>
        </w:rPr>
        <w:t>8.7 财务测算结果分析</w:t>
      </w:r>
      <w:bookmarkEnd w:id="362"/>
      <w:bookmarkEnd w:id="363"/>
      <w:bookmarkEnd w:id="364"/>
      <w:bookmarkEnd w:id="365"/>
      <w:bookmarkEnd w:id="366"/>
      <w:bookmarkEnd w:id="367"/>
    </w:p>
    <w:p>
      <w:pPr>
        <w:ind w:firstLine="560"/>
        <w:rPr>
          <w:rFonts w:ascii="Times New Roman" w:hAnsi="Times New Roman"/>
          <w:szCs w:val="28"/>
        </w:rPr>
      </w:pPr>
      <w:r>
        <w:rPr>
          <w:rFonts w:ascii="Times New Roman" w:hAnsi="Times New Roman"/>
          <w:szCs w:val="28"/>
        </w:rPr>
        <w:t>根据财务测算结果，在政府可行性缺口补助的前提下，社会资本方项目投资内部收益率（调整所得税后）为</w:t>
      </w:r>
      <w:r>
        <w:rPr>
          <w:rFonts w:hint="eastAsia" w:ascii="Times New Roman" w:hAnsi="Times New Roman"/>
          <w:szCs w:val="28"/>
        </w:rPr>
        <w:t>5.12</w:t>
      </w:r>
      <w:r>
        <w:rPr>
          <w:rFonts w:ascii="Times New Roman" w:hAnsi="Times New Roman"/>
          <w:szCs w:val="28"/>
        </w:rPr>
        <w:t>%，社会资本方项目投资财务净现值（调整所得税后</w:t>
      </w:r>
      <w:r>
        <w:rPr>
          <w:rFonts w:hint="eastAsia" w:ascii="Times New Roman" w:hAnsi="Times New Roman"/>
          <w:szCs w:val="28"/>
        </w:rPr>
        <w:t>，按4.9%折现</w:t>
      </w:r>
      <w:r>
        <w:rPr>
          <w:rFonts w:ascii="Times New Roman" w:hAnsi="Times New Roman"/>
          <w:szCs w:val="28"/>
        </w:rPr>
        <w:t>）为</w:t>
      </w:r>
      <w:r>
        <w:rPr>
          <w:rFonts w:hint="eastAsia" w:ascii="Times New Roman" w:hAnsi="Times New Roman"/>
          <w:szCs w:val="28"/>
        </w:rPr>
        <w:t>112.30</w:t>
      </w:r>
      <w:r>
        <w:rPr>
          <w:rFonts w:ascii="Times New Roman" w:hAnsi="Times New Roman"/>
          <w:szCs w:val="28"/>
        </w:rPr>
        <w:t>万元，</w:t>
      </w:r>
      <w:r>
        <w:rPr>
          <w:rFonts w:hint="eastAsia" w:ascii="Times New Roman" w:hAnsi="Times New Roman"/>
          <w:szCs w:val="28"/>
        </w:rPr>
        <w:t>社会资本资本金内部收益率为7.19%，</w:t>
      </w:r>
      <w:r>
        <w:rPr>
          <w:rFonts w:ascii="Times New Roman" w:hAnsi="Times New Roman"/>
          <w:szCs w:val="28"/>
        </w:rPr>
        <w:t>社会资本方项目静态投资回收期（调整所得税后）</w:t>
      </w:r>
      <w:r>
        <w:rPr>
          <w:rFonts w:hint="eastAsia" w:ascii="Times New Roman" w:hAnsi="Times New Roman"/>
          <w:szCs w:val="28"/>
        </w:rPr>
        <w:t>13.53</w:t>
      </w:r>
      <w:r>
        <w:rPr>
          <w:rFonts w:ascii="Times New Roman" w:hAnsi="Times New Roman"/>
          <w:szCs w:val="28"/>
        </w:rPr>
        <w:t>年，社会资本方项目动态投资回收期（调整所得税后</w:t>
      </w:r>
      <w:r>
        <w:rPr>
          <w:rFonts w:hint="eastAsia" w:ascii="Times New Roman" w:hAnsi="Times New Roman"/>
          <w:szCs w:val="28"/>
        </w:rPr>
        <w:t>，按4.9%折现</w:t>
      </w:r>
      <w:r>
        <w:rPr>
          <w:rFonts w:ascii="Times New Roman" w:hAnsi="Times New Roman"/>
          <w:szCs w:val="28"/>
        </w:rPr>
        <w:t>）为</w:t>
      </w:r>
      <w:r>
        <w:rPr>
          <w:rFonts w:hint="eastAsia" w:ascii="Times New Roman" w:hAnsi="Times New Roman"/>
          <w:szCs w:val="28"/>
        </w:rPr>
        <w:t>20.83</w:t>
      </w:r>
      <w:r>
        <w:rPr>
          <w:rFonts w:ascii="Times New Roman" w:hAnsi="Times New Roman"/>
          <w:szCs w:val="28"/>
        </w:rPr>
        <w:t>年。</w:t>
      </w:r>
    </w:p>
    <w:p>
      <w:pPr>
        <w:ind w:firstLine="560"/>
        <w:rPr>
          <w:rFonts w:ascii="Times New Roman" w:hAnsi="Times New Roman"/>
          <w:szCs w:val="28"/>
        </w:rPr>
      </w:pPr>
      <w:r>
        <w:rPr>
          <w:rFonts w:ascii="Times New Roman" w:hAnsi="Times New Roman"/>
          <w:szCs w:val="28"/>
        </w:rPr>
        <w:t>财务测算结果是在预测的基础上进行分析的，由于受条件限制，部分参数仅能按现有资料参考同类已建成项目进行合理估计，项目实施过程中再依据实际情况进行调整，从测算分析结果看，本项目实施方案在财务上是完全可行的。</w:t>
      </w:r>
    </w:p>
    <w:p>
      <w:pPr>
        <w:pStyle w:val="2"/>
        <w:spacing w:before="240" w:after="240" w:line="560" w:lineRule="exact"/>
        <w:ind w:firstLine="562"/>
        <w:jc w:val="left"/>
        <w:rPr>
          <w:rFonts w:ascii="黑体" w:hAnsi="黑体" w:eastAsia="黑体" w:cs="黑体"/>
          <w:sz w:val="28"/>
          <w:szCs w:val="28"/>
        </w:rPr>
      </w:pPr>
      <w:bookmarkStart w:id="368" w:name="_Toc468088687"/>
      <w:r>
        <w:rPr>
          <w:rFonts w:hint="eastAsia" w:ascii="黑体" w:hAnsi="黑体" w:eastAsia="黑体" w:cs="黑体"/>
          <w:sz w:val="28"/>
          <w:szCs w:val="28"/>
        </w:rPr>
        <w:t>九、项目前景</w:t>
      </w:r>
      <w:bookmarkEnd w:id="368"/>
    </w:p>
    <w:p>
      <w:pPr>
        <w:pStyle w:val="3"/>
        <w:spacing w:before="200" w:after="200" w:line="560" w:lineRule="exact"/>
        <w:ind w:firstLine="562"/>
        <w:jc w:val="left"/>
        <w:rPr>
          <w:rFonts w:ascii="Times New Roman" w:hAnsi="Times New Roman"/>
          <w:szCs w:val="28"/>
        </w:rPr>
      </w:pPr>
      <w:bookmarkStart w:id="369" w:name="_Toc440978815"/>
      <w:bookmarkStart w:id="370" w:name="_Toc468088688"/>
      <w:r>
        <w:rPr>
          <w:rFonts w:ascii="Times New Roman" w:hAnsi="Times New Roman"/>
          <w:szCs w:val="28"/>
        </w:rPr>
        <w:t>9.1 项目实施时序安排</w:t>
      </w:r>
      <w:bookmarkEnd w:id="369"/>
      <w:bookmarkEnd w:id="370"/>
    </w:p>
    <w:p>
      <w:pPr>
        <w:ind w:firstLine="560"/>
      </w:pPr>
      <w:r>
        <w:t>本项目实施计划表如下：</w:t>
      </w:r>
    </w:p>
    <w:tbl>
      <w:tblPr>
        <w:tblStyle w:val="22"/>
        <w:tblW w:w="7965" w:type="dxa"/>
        <w:jc w:val="center"/>
        <w:tblInd w:w="0" w:type="dxa"/>
        <w:tblBorders>
          <w:top w:val="double" w:color="auto" w:sz="4" w:space="0"/>
          <w:left w:val="none" w:color="auto" w:sz="0" w:space="0"/>
          <w:bottom w:val="doub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1857"/>
        <w:gridCol w:w="1612"/>
        <w:gridCol w:w="3818"/>
      </w:tblGrid>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tblHeader/>
          <w:jc w:val="center"/>
        </w:trPr>
        <w:tc>
          <w:tcPr>
            <w:tcW w:w="678" w:type="dxa"/>
            <w:tcBorders>
              <w:top w:val="double" w:color="auto" w:sz="4" w:space="0"/>
              <w:bottom w:val="single" w:color="auto" w:sz="4" w:space="0"/>
              <w:right w:val="single" w:color="auto" w:sz="4" w:space="0"/>
            </w:tcBorders>
            <w:vAlign w:val="center"/>
          </w:tcPr>
          <w:p>
            <w:pPr>
              <w:pStyle w:val="88"/>
            </w:pPr>
            <w:r>
              <w:t>序号</w:t>
            </w:r>
          </w:p>
        </w:tc>
        <w:tc>
          <w:tcPr>
            <w:tcW w:w="1857" w:type="dxa"/>
            <w:tcBorders>
              <w:top w:val="double" w:color="auto" w:sz="4" w:space="0"/>
              <w:left w:val="single" w:color="auto" w:sz="4" w:space="0"/>
              <w:bottom w:val="single" w:color="auto" w:sz="4" w:space="0"/>
              <w:right w:val="single" w:color="auto" w:sz="4" w:space="0"/>
            </w:tcBorders>
            <w:vAlign w:val="center"/>
          </w:tcPr>
          <w:p>
            <w:pPr>
              <w:pStyle w:val="88"/>
            </w:pPr>
            <w:r>
              <w:t>工作内容</w:t>
            </w:r>
          </w:p>
        </w:tc>
        <w:tc>
          <w:tcPr>
            <w:tcW w:w="1612" w:type="dxa"/>
            <w:tcBorders>
              <w:top w:val="double" w:color="auto" w:sz="4" w:space="0"/>
              <w:left w:val="single" w:color="auto" w:sz="4" w:space="0"/>
              <w:bottom w:val="single" w:color="auto" w:sz="4" w:space="0"/>
              <w:right w:val="single" w:color="auto" w:sz="4" w:space="0"/>
            </w:tcBorders>
            <w:vAlign w:val="center"/>
          </w:tcPr>
          <w:p>
            <w:pPr>
              <w:pStyle w:val="88"/>
            </w:pPr>
            <w:r>
              <w:t>完成时间</w:t>
            </w:r>
          </w:p>
        </w:tc>
        <w:tc>
          <w:tcPr>
            <w:tcW w:w="3818" w:type="dxa"/>
            <w:tcBorders>
              <w:top w:val="double" w:color="auto" w:sz="4" w:space="0"/>
              <w:left w:val="single" w:color="auto" w:sz="4" w:space="0"/>
              <w:bottom w:val="single" w:color="auto" w:sz="4" w:space="0"/>
            </w:tcBorders>
            <w:vAlign w:val="center"/>
          </w:tcPr>
          <w:p>
            <w:pPr>
              <w:pStyle w:val="88"/>
            </w:pPr>
            <w:r>
              <w:t>责任单位</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678" w:type="dxa"/>
            <w:tcBorders>
              <w:top w:val="single" w:color="auto" w:sz="4" w:space="0"/>
              <w:bottom w:val="single" w:color="auto" w:sz="4" w:space="0"/>
              <w:right w:val="single" w:color="auto" w:sz="4" w:space="0"/>
            </w:tcBorders>
            <w:vAlign w:val="center"/>
          </w:tcPr>
          <w:p>
            <w:pPr>
              <w:pStyle w:val="88"/>
            </w:pPr>
            <w:r>
              <w:t>1</w:t>
            </w:r>
          </w:p>
        </w:tc>
        <w:tc>
          <w:tcPr>
            <w:tcW w:w="1857" w:type="dxa"/>
            <w:tcBorders>
              <w:top w:val="single" w:color="auto" w:sz="4" w:space="0"/>
              <w:left w:val="single" w:color="auto" w:sz="4" w:space="0"/>
              <w:bottom w:val="single" w:color="auto" w:sz="4" w:space="0"/>
              <w:right w:val="single" w:color="auto" w:sz="4" w:space="0"/>
            </w:tcBorders>
            <w:vAlign w:val="center"/>
          </w:tcPr>
          <w:p>
            <w:pPr>
              <w:pStyle w:val="88"/>
            </w:pPr>
            <w:r>
              <w:t>项目可研、设计</w:t>
            </w:r>
          </w:p>
        </w:tc>
        <w:tc>
          <w:tcPr>
            <w:tcW w:w="1612" w:type="dxa"/>
            <w:tcBorders>
              <w:top w:val="single" w:color="auto" w:sz="4" w:space="0"/>
              <w:left w:val="single" w:color="auto" w:sz="4" w:space="0"/>
              <w:bottom w:val="single" w:color="auto" w:sz="4" w:space="0"/>
              <w:right w:val="single" w:color="auto" w:sz="4" w:space="0"/>
            </w:tcBorders>
            <w:vAlign w:val="center"/>
          </w:tcPr>
          <w:p>
            <w:pPr>
              <w:pStyle w:val="88"/>
            </w:pPr>
            <w:r>
              <w:t>2015年11月</w:t>
            </w:r>
          </w:p>
        </w:tc>
        <w:tc>
          <w:tcPr>
            <w:tcW w:w="3818" w:type="dxa"/>
            <w:tcBorders>
              <w:top w:val="single" w:color="auto" w:sz="4" w:space="0"/>
              <w:left w:val="single" w:color="auto" w:sz="4" w:space="0"/>
              <w:bottom w:val="single" w:color="auto" w:sz="4" w:space="0"/>
            </w:tcBorders>
            <w:vAlign w:val="center"/>
          </w:tcPr>
          <w:p>
            <w:pPr>
              <w:pStyle w:val="88"/>
            </w:pPr>
            <w:r>
              <w:t>设计单位</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678" w:type="dxa"/>
            <w:tcBorders>
              <w:top w:val="single" w:color="auto" w:sz="4" w:space="0"/>
              <w:bottom w:val="single" w:color="auto" w:sz="4" w:space="0"/>
              <w:right w:val="single" w:color="auto" w:sz="4" w:space="0"/>
            </w:tcBorders>
            <w:vAlign w:val="center"/>
          </w:tcPr>
          <w:p>
            <w:pPr>
              <w:pStyle w:val="88"/>
            </w:pPr>
            <w:r>
              <w:t>2</w:t>
            </w:r>
          </w:p>
        </w:tc>
        <w:tc>
          <w:tcPr>
            <w:tcW w:w="1857" w:type="dxa"/>
            <w:tcBorders>
              <w:top w:val="single" w:color="auto" w:sz="4" w:space="0"/>
              <w:left w:val="single" w:color="auto" w:sz="4" w:space="0"/>
              <w:bottom w:val="single" w:color="auto" w:sz="4" w:space="0"/>
              <w:right w:val="single" w:color="auto" w:sz="4" w:space="0"/>
            </w:tcBorders>
            <w:vAlign w:val="center"/>
          </w:tcPr>
          <w:p>
            <w:pPr>
              <w:pStyle w:val="88"/>
              <w:rPr>
                <w:color w:val="000000" w:themeColor="text1"/>
              </w:rPr>
            </w:pPr>
            <w:r>
              <w:rPr>
                <w:color w:val="000000" w:themeColor="text1"/>
              </w:rPr>
              <w:t>PPP方案细化</w:t>
            </w:r>
            <w:r>
              <w:rPr>
                <w:rFonts w:hint="eastAsia"/>
                <w:color w:val="000000" w:themeColor="text1"/>
              </w:rPr>
              <w:t>修改完善</w:t>
            </w:r>
          </w:p>
        </w:tc>
        <w:tc>
          <w:tcPr>
            <w:tcW w:w="1612" w:type="dxa"/>
            <w:tcBorders>
              <w:top w:val="single" w:color="auto" w:sz="4" w:space="0"/>
              <w:left w:val="single" w:color="auto" w:sz="4" w:space="0"/>
              <w:bottom w:val="single" w:color="auto" w:sz="4" w:space="0"/>
              <w:right w:val="single" w:color="auto" w:sz="4" w:space="0"/>
            </w:tcBorders>
            <w:vAlign w:val="center"/>
          </w:tcPr>
          <w:p>
            <w:pPr>
              <w:pStyle w:val="88"/>
              <w:rPr>
                <w:color w:val="000000" w:themeColor="text1"/>
              </w:rPr>
            </w:pPr>
            <w:r>
              <w:rPr>
                <w:color w:val="000000" w:themeColor="text1"/>
              </w:rPr>
              <w:t>2016年</w:t>
            </w:r>
            <w:r>
              <w:rPr>
                <w:rFonts w:hint="eastAsia"/>
                <w:color w:val="000000" w:themeColor="text1"/>
              </w:rPr>
              <w:t>11</w:t>
            </w:r>
            <w:r>
              <w:rPr>
                <w:color w:val="000000" w:themeColor="text1"/>
              </w:rPr>
              <w:t>月</w:t>
            </w:r>
          </w:p>
        </w:tc>
        <w:tc>
          <w:tcPr>
            <w:tcW w:w="3818" w:type="dxa"/>
            <w:tcBorders>
              <w:top w:val="single" w:color="auto" w:sz="4" w:space="0"/>
              <w:left w:val="single" w:color="auto" w:sz="4" w:space="0"/>
              <w:bottom w:val="single" w:color="auto" w:sz="4" w:space="0"/>
            </w:tcBorders>
            <w:vAlign w:val="center"/>
          </w:tcPr>
          <w:p>
            <w:pPr>
              <w:pStyle w:val="88"/>
            </w:pPr>
            <w:r>
              <w:t>咨询机构</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678" w:type="dxa"/>
            <w:tcBorders>
              <w:top w:val="single" w:color="auto" w:sz="4" w:space="0"/>
              <w:bottom w:val="single" w:color="auto" w:sz="4" w:space="0"/>
              <w:right w:val="single" w:color="auto" w:sz="4" w:space="0"/>
            </w:tcBorders>
            <w:vAlign w:val="center"/>
          </w:tcPr>
          <w:p>
            <w:pPr>
              <w:pStyle w:val="88"/>
            </w:pPr>
            <w:r>
              <w:t>3</w:t>
            </w:r>
          </w:p>
        </w:tc>
        <w:tc>
          <w:tcPr>
            <w:tcW w:w="1857" w:type="dxa"/>
            <w:tcBorders>
              <w:top w:val="single" w:color="auto" w:sz="4" w:space="0"/>
              <w:left w:val="single" w:color="auto" w:sz="4" w:space="0"/>
              <w:bottom w:val="single" w:color="auto" w:sz="4" w:space="0"/>
              <w:right w:val="single" w:color="auto" w:sz="4" w:space="0"/>
            </w:tcBorders>
            <w:vAlign w:val="center"/>
          </w:tcPr>
          <w:p>
            <w:pPr>
              <w:pStyle w:val="88"/>
              <w:rPr>
                <w:color w:val="000000" w:themeColor="text1"/>
              </w:rPr>
            </w:pPr>
            <w:r>
              <w:rPr>
                <w:color w:val="000000" w:themeColor="text1"/>
              </w:rPr>
              <w:t>政府采购</w:t>
            </w:r>
          </w:p>
        </w:tc>
        <w:tc>
          <w:tcPr>
            <w:tcW w:w="1612" w:type="dxa"/>
            <w:tcBorders>
              <w:top w:val="single" w:color="auto" w:sz="4" w:space="0"/>
              <w:left w:val="single" w:color="auto" w:sz="4" w:space="0"/>
              <w:bottom w:val="single" w:color="auto" w:sz="4" w:space="0"/>
              <w:right w:val="single" w:color="auto" w:sz="4" w:space="0"/>
            </w:tcBorders>
            <w:vAlign w:val="center"/>
          </w:tcPr>
          <w:p>
            <w:pPr>
              <w:pStyle w:val="88"/>
              <w:rPr>
                <w:color w:val="000000" w:themeColor="text1"/>
              </w:rPr>
            </w:pPr>
            <w:r>
              <w:rPr>
                <w:color w:val="000000" w:themeColor="text1"/>
              </w:rPr>
              <w:t>2016年</w:t>
            </w:r>
            <w:r>
              <w:rPr>
                <w:rFonts w:hint="eastAsia"/>
                <w:color w:val="000000" w:themeColor="text1"/>
              </w:rPr>
              <w:t>12</w:t>
            </w:r>
            <w:r>
              <w:rPr>
                <w:color w:val="000000" w:themeColor="text1"/>
              </w:rPr>
              <w:t>月</w:t>
            </w:r>
            <w:r>
              <w:rPr>
                <w:rFonts w:hint="eastAsia"/>
                <w:color w:val="000000" w:themeColor="text1"/>
              </w:rPr>
              <w:t>-2017年1月</w:t>
            </w:r>
          </w:p>
        </w:tc>
        <w:tc>
          <w:tcPr>
            <w:tcW w:w="3818" w:type="dxa"/>
            <w:tcBorders>
              <w:top w:val="single" w:color="auto" w:sz="4" w:space="0"/>
              <w:left w:val="single" w:color="auto" w:sz="4" w:space="0"/>
              <w:bottom w:val="single" w:color="auto" w:sz="4" w:space="0"/>
            </w:tcBorders>
            <w:vAlign w:val="center"/>
          </w:tcPr>
          <w:p>
            <w:pPr>
              <w:pStyle w:val="88"/>
            </w:pPr>
            <w:r>
              <w:t>呈贡区粮食局</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678" w:type="dxa"/>
            <w:tcBorders>
              <w:top w:val="single" w:color="auto" w:sz="4" w:space="0"/>
              <w:bottom w:val="single" w:color="auto" w:sz="4" w:space="0"/>
              <w:right w:val="single" w:color="auto" w:sz="4" w:space="0"/>
            </w:tcBorders>
            <w:vAlign w:val="center"/>
          </w:tcPr>
          <w:p>
            <w:pPr>
              <w:pStyle w:val="88"/>
            </w:pPr>
            <w:r>
              <w:t>4</w:t>
            </w:r>
          </w:p>
        </w:tc>
        <w:tc>
          <w:tcPr>
            <w:tcW w:w="1857" w:type="dxa"/>
            <w:tcBorders>
              <w:top w:val="single" w:color="auto" w:sz="4" w:space="0"/>
              <w:left w:val="single" w:color="auto" w:sz="4" w:space="0"/>
              <w:bottom w:val="single" w:color="auto" w:sz="4" w:space="0"/>
              <w:right w:val="single" w:color="auto" w:sz="4" w:space="0"/>
            </w:tcBorders>
            <w:vAlign w:val="center"/>
          </w:tcPr>
          <w:p>
            <w:pPr>
              <w:pStyle w:val="88"/>
              <w:rPr>
                <w:color w:val="000000" w:themeColor="text1"/>
              </w:rPr>
            </w:pPr>
            <w:r>
              <w:rPr>
                <w:color w:val="000000" w:themeColor="text1"/>
              </w:rPr>
              <w:t>合同签订</w:t>
            </w:r>
          </w:p>
        </w:tc>
        <w:tc>
          <w:tcPr>
            <w:tcW w:w="1612" w:type="dxa"/>
            <w:tcBorders>
              <w:top w:val="single" w:color="auto" w:sz="4" w:space="0"/>
              <w:left w:val="single" w:color="auto" w:sz="4" w:space="0"/>
              <w:bottom w:val="single" w:color="auto" w:sz="4" w:space="0"/>
              <w:right w:val="single" w:color="auto" w:sz="4" w:space="0"/>
            </w:tcBorders>
            <w:vAlign w:val="center"/>
          </w:tcPr>
          <w:p>
            <w:pPr>
              <w:pStyle w:val="88"/>
              <w:rPr>
                <w:color w:val="000000" w:themeColor="text1"/>
              </w:rPr>
            </w:pPr>
            <w:r>
              <w:rPr>
                <w:color w:val="000000" w:themeColor="text1"/>
              </w:rPr>
              <w:t>201</w:t>
            </w:r>
            <w:r>
              <w:rPr>
                <w:rFonts w:hint="eastAsia"/>
                <w:color w:val="000000" w:themeColor="text1"/>
              </w:rPr>
              <w:t>7</w:t>
            </w:r>
            <w:r>
              <w:rPr>
                <w:color w:val="000000" w:themeColor="text1"/>
              </w:rPr>
              <w:t>年</w:t>
            </w:r>
            <w:r>
              <w:rPr>
                <w:rFonts w:hint="eastAsia"/>
                <w:color w:val="000000" w:themeColor="text1"/>
              </w:rPr>
              <w:t>2</w:t>
            </w:r>
            <w:r>
              <w:rPr>
                <w:color w:val="000000" w:themeColor="text1"/>
              </w:rPr>
              <w:t>月</w:t>
            </w:r>
          </w:p>
        </w:tc>
        <w:tc>
          <w:tcPr>
            <w:tcW w:w="3818" w:type="dxa"/>
            <w:tcBorders>
              <w:top w:val="single" w:color="auto" w:sz="4" w:space="0"/>
              <w:left w:val="single" w:color="auto" w:sz="4" w:space="0"/>
              <w:bottom w:val="single" w:color="auto" w:sz="4" w:space="0"/>
            </w:tcBorders>
            <w:vAlign w:val="center"/>
          </w:tcPr>
          <w:p>
            <w:pPr>
              <w:pStyle w:val="88"/>
            </w:pPr>
            <w:r>
              <w:t>呈贡区粮食局</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678" w:type="dxa"/>
            <w:tcBorders>
              <w:top w:val="single" w:color="auto" w:sz="4" w:space="0"/>
              <w:bottom w:val="double" w:color="auto" w:sz="4" w:space="0"/>
              <w:right w:val="single" w:color="auto" w:sz="4" w:space="0"/>
            </w:tcBorders>
            <w:vAlign w:val="center"/>
          </w:tcPr>
          <w:p>
            <w:pPr>
              <w:pStyle w:val="88"/>
            </w:pPr>
            <w:r>
              <w:t>5</w:t>
            </w:r>
          </w:p>
        </w:tc>
        <w:tc>
          <w:tcPr>
            <w:tcW w:w="1857" w:type="dxa"/>
            <w:tcBorders>
              <w:top w:val="single" w:color="auto" w:sz="4" w:space="0"/>
              <w:left w:val="single" w:color="auto" w:sz="4" w:space="0"/>
              <w:bottom w:val="double" w:color="auto" w:sz="4" w:space="0"/>
              <w:right w:val="single" w:color="auto" w:sz="4" w:space="0"/>
            </w:tcBorders>
            <w:vAlign w:val="center"/>
          </w:tcPr>
          <w:p>
            <w:pPr>
              <w:pStyle w:val="88"/>
              <w:rPr>
                <w:color w:val="000000" w:themeColor="text1"/>
              </w:rPr>
            </w:pPr>
            <w:r>
              <w:rPr>
                <w:color w:val="000000" w:themeColor="text1"/>
              </w:rPr>
              <w:t>项目实施</w:t>
            </w:r>
          </w:p>
        </w:tc>
        <w:tc>
          <w:tcPr>
            <w:tcW w:w="1612" w:type="dxa"/>
            <w:tcBorders>
              <w:top w:val="single" w:color="auto" w:sz="4" w:space="0"/>
              <w:left w:val="single" w:color="auto" w:sz="4" w:space="0"/>
              <w:bottom w:val="double" w:color="auto" w:sz="4" w:space="0"/>
              <w:right w:val="single" w:color="auto" w:sz="4" w:space="0"/>
            </w:tcBorders>
            <w:vAlign w:val="center"/>
          </w:tcPr>
          <w:p>
            <w:pPr>
              <w:pStyle w:val="88"/>
              <w:rPr>
                <w:color w:val="000000" w:themeColor="text1"/>
              </w:rPr>
            </w:pPr>
            <w:r>
              <w:rPr>
                <w:color w:val="000000" w:themeColor="text1"/>
              </w:rPr>
              <w:t>2017年</w:t>
            </w:r>
            <w:r>
              <w:rPr>
                <w:rFonts w:hint="eastAsia"/>
                <w:color w:val="000000" w:themeColor="text1"/>
              </w:rPr>
              <w:t>3</w:t>
            </w:r>
            <w:r>
              <w:rPr>
                <w:color w:val="000000" w:themeColor="text1"/>
              </w:rPr>
              <w:t>月</w:t>
            </w:r>
          </w:p>
        </w:tc>
        <w:tc>
          <w:tcPr>
            <w:tcW w:w="3818" w:type="dxa"/>
            <w:tcBorders>
              <w:top w:val="single" w:color="auto" w:sz="4" w:space="0"/>
              <w:left w:val="single" w:color="auto" w:sz="4" w:space="0"/>
              <w:bottom w:val="double" w:color="auto" w:sz="4" w:space="0"/>
            </w:tcBorders>
            <w:vAlign w:val="center"/>
          </w:tcPr>
          <w:p>
            <w:pPr>
              <w:pStyle w:val="88"/>
            </w:pPr>
            <w:r>
              <w:t>项目公司</w:t>
            </w:r>
          </w:p>
        </w:tc>
      </w:tr>
    </w:tbl>
    <w:p>
      <w:pPr>
        <w:pStyle w:val="3"/>
        <w:spacing w:before="200" w:after="200" w:line="560" w:lineRule="exact"/>
        <w:ind w:firstLine="562"/>
        <w:jc w:val="left"/>
        <w:rPr>
          <w:rFonts w:ascii="Times New Roman" w:hAnsi="Times New Roman"/>
          <w:szCs w:val="28"/>
        </w:rPr>
      </w:pPr>
      <w:bookmarkStart w:id="371" w:name="_Toc440978816"/>
      <w:bookmarkStart w:id="372" w:name="_Toc468088689"/>
      <w:r>
        <w:rPr>
          <w:rFonts w:ascii="Times New Roman" w:hAnsi="Times New Roman"/>
          <w:szCs w:val="28"/>
        </w:rPr>
        <w:t>9.2 前景评估和总体规划</w:t>
      </w:r>
      <w:bookmarkEnd w:id="371"/>
      <w:bookmarkEnd w:id="372"/>
    </w:p>
    <w:p>
      <w:pPr>
        <w:ind w:firstLine="560"/>
        <w:rPr>
          <w:rFonts w:ascii="Times New Roman" w:hAnsi="Times New Roman"/>
        </w:rPr>
      </w:pPr>
      <w:r>
        <w:rPr>
          <w:rFonts w:ascii="Times New Roman" w:hAnsi="Times New Roman"/>
        </w:rPr>
        <w:t>近年来，随着呈贡新区建设发展的需要，大部分粮食仓库被占用，现有仓库多为上世纪五十年代至七十年代建设的仓库，其中近一半为土木结构的苏式仓，已不能满足科学储粮、安全储粮的需要。按照国务院的规定，“销区不少于半年口粮，产区不少于3个月口粮”，按此推算，云南省仅口粮的粮食储备量应达到45亿公斤。因此，现有粮食储备仓容量已不能满足现代储粮规范要求，新建粮油仓储设施十分必要。</w:t>
      </w:r>
    </w:p>
    <w:p>
      <w:pPr>
        <w:ind w:firstLine="560"/>
        <w:rPr>
          <w:rFonts w:ascii="Times New Roman" w:hAnsi="Times New Roman"/>
        </w:rPr>
      </w:pPr>
      <w:r>
        <w:rPr>
          <w:rFonts w:ascii="Times New Roman" w:hAnsi="Times New Roman"/>
        </w:rPr>
        <w:t>根据昆明新城呈贡新区建设发展的计划,人口将由现有的18万发展为95万，粮油需求情况发生了根本性的变化。按此人口规模计算，呈贡新区年粮油消费总量为17000万公斤。按储备粮安全规模计算,呈贡新区的储备粮规模及相应的设施应达到5000万公斤。至目前为止，呈贡只保存了约6243平方米的仓库面积，粮油仓储能力约12335吨的库容量，仅占新城安全储备粮规模的25%。</w:t>
      </w:r>
    </w:p>
    <w:p>
      <w:pPr>
        <w:ind w:firstLine="560"/>
        <w:rPr>
          <w:rFonts w:ascii="Times New Roman" w:hAnsi="Times New Roman"/>
        </w:rPr>
      </w:pPr>
      <w:r>
        <w:rPr>
          <w:rFonts w:ascii="Times New Roman" w:hAnsi="Times New Roman"/>
        </w:rPr>
        <w:t>项目的建设将彻底改变上述省、市、区粮油储备现状，实现粮食仓储的网络化、信息化、标准化、设施现代化。项目有着良好的发展前景。</w:t>
      </w:r>
    </w:p>
    <w:p>
      <w:pPr>
        <w:pStyle w:val="3"/>
        <w:spacing w:before="200" w:after="200" w:line="560" w:lineRule="exact"/>
        <w:ind w:firstLine="562"/>
        <w:jc w:val="left"/>
        <w:rPr>
          <w:rFonts w:ascii="Times New Roman" w:hAnsi="Times New Roman"/>
          <w:szCs w:val="28"/>
        </w:rPr>
      </w:pPr>
      <w:bookmarkStart w:id="373" w:name="_Toc468088690"/>
      <w:bookmarkStart w:id="374" w:name="_Toc440978817"/>
      <w:r>
        <w:rPr>
          <w:rFonts w:ascii="Times New Roman" w:hAnsi="Times New Roman"/>
          <w:szCs w:val="28"/>
        </w:rPr>
        <w:t>9.3 主要政策需求及建议</w:t>
      </w:r>
      <w:bookmarkEnd w:id="373"/>
      <w:bookmarkEnd w:id="374"/>
    </w:p>
    <w:p>
      <w:pPr>
        <w:ind w:firstLine="560"/>
        <w:rPr>
          <w:rFonts w:ascii="Times New Roman" w:hAnsi="Times New Roman"/>
        </w:rPr>
      </w:pPr>
      <w:r>
        <w:rPr>
          <w:rFonts w:ascii="Times New Roman" w:hAnsi="Times New Roman"/>
        </w:rPr>
        <w:t>2013年7月18日，随着最新的《粮食流通管理条例》的实施，对于昆明市及呈贡区的粮油储备工作提出了新的要求。本项目属于</w:t>
      </w:r>
      <w:r>
        <w:rPr>
          <w:rFonts w:hint="eastAsia" w:ascii="Times New Roman" w:hAnsi="Times New Roman"/>
        </w:rPr>
        <w:t>准</w:t>
      </w:r>
      <w:r>
        <w:rPr>
          <w:rFonts w:ascii="Times New Roman" w:hAnsi="Times New Roman"/>
        </w:rPr>
        <w:t>公益性项目，希望省、市对于公益类项目采用PPP模式出台一些税费减免政策，促进公益类项目积极推广PPP模式；同时希望省、市政府积极协调财政、金融部门，为PPP项目实施争取财政和金融政策支持，拓宽项目融资渠道、降低融资条件，设立财政专项资金，与国家有关专项资金形成合力，支持PPP项目实施。</w:t>
      </w:r>
    </w:p>
    <w:p>
      <w:pPr>
        <w:pStyle w:val="29"/>
        <w:ind w:firstLine="480"/>
      </w:pPr>
    </w:p>
    <w:p>
      <w:pPr>
        <w:pStyle w:val="29"/>
        <w:ind w:firstLine="0" w:firstLineChars="0"/>
      </w:pPr>
    </w:p>
    <w:p>
      <w:pPr>
        <w:pStyle w:val="29"/>
        <w:ind w:firstLine="480"/>
      </w:pPr>
    </w:p>
    <w:p>
      <w:pPr>
        <w:pStyle w:val="2"/>
        <w:ind w:firstLine="562"/>
        <w:rPr>
          <w:rFonts w:ascii="Times New Roman" w:hAnsi="Times New Roman"/>
          <w:sz w:val="28"/>
          <w:szCs w:val="28"/>
        </w:rPr>
      </w:pPr>
      <w:bookmarkStart w:id="375" w:name="_Toc448818542"/>
      <w:bookmarkStart w:id="376" w:name="_Toc9063"/>
      <w:bookmarkStart w:id="377" w:name="_Toc468088691"/>
      <w:bookmarkStart w:id="378" w:name="_Toc5581"/>
      <w:r>
        <w:rPr>
          <w:rFonts w:ascii="Times New Roman" w:hAnsi="Times New Roman"/>
          <w:sz w:val="28"/>
          <w:szCs w:val="28"/>
        </w:rPr>
        <w:t>附件：</w:t>
      </w:r>
      <w:bookmarkEnd w:id="375"/>
      <w:r>
        <w:rPr>
          <w:rFonts w:ascii="Times New Roman" w:hAnsi="Times New Roman"/>
          <w:sz w:val="28"/>
          <w:szCs w:val="28"/>
        </w:rPr>
        <w:t>财务测算附表</w:t>
      </w:r>
      <w:bookmarkEnd w:id="376"/>
      <w:bookmarkEnd w:id="377"/>
      <w:bookmarkEnd w:id="378"/>
    </w:p>
    <w:p>
      <w:pPr>
        <w:pStyle w:val="29"/>
        <w:ind w:firstLine="480"/>
      </w:pPr>
    </w:p>
    <w:p>
      <w:pPr>
        <w:pStyle w:val="29"/>
        <w:ind w:firstLine="480"/>
      </w:pPr>
    </w:p>
    <w:p>
      <w:pPr>
        <w:pStyle w:val="29"/>
        <w:ind w:firstLine="480"/>
      </w:pPr>
    </w:p>
    <w:sectPr>
      <w:footerReference r:id="rId10" w:type="default"/>
      <w:pgSz w:w="11906" w:h="16838"/>
      <w:pgMar w:top="1440" w:right="1797" w:bottom="1440" w:left="1797"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19962"/>
    <w:multiLevelType w:val="singleLevel"/>
    <w:tmpl w:val="582199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DB7ABC"/>
    <w:rsid w:val="00005FFC"/>
    <w:rsid w:val="00006094"/>
    <w:rsid w:val="000204C9"/>
    <w:rsid w:val="000318CC"/>
    <w:rsid w:val="00044FD8"/>
    <w:rsid w:val="00046712"/>
    <w:rsid w:val="000476C7"/>
    <w:rsid w:val="00052057"/>
    <w:rsid w:val="00052B7D"/>
    <w:rsid w:val="00056676"/>
    <w:rsid w:val="00063195"/>
    <w:rsid w:val="0006419F"/>
    <w:rsid w:val="00064420"/>
    <w:rsid w:val="00095AAB"/>
    <w:rsid w:val="000A357A"/>
    <w:rsid w:val="000A5FAE"/>
    <w:rsid w:val="000B09A3"/>
    <w:rsid w:val="000C4038"/>
    <w:rsid w:val="000C46BA"/>
    <w:rsid w:val="000C5E4B"/>
    <w:rsid w:val="000E4E1E"/>
    <w:rsid w:val="00106EEE"/>
    <w:rsid w:val="00126879"/>
    <w:rsid w:val="00143E7F"/>
    <w:rsid w:val="0015002A"/>
    <w:rsid w:val="001652FF"/>
    <w:rsid w:val="001778D1"/>
    <w:rsid w:val="00181D98"/>
    <w:rsid w:val="001838E8"/>
    <w:rsid w:val="0019120C"/>
    <w:rsid w:val="001964DA"/>
    <w:rsid w:val="00196D0F"/>
    <w:rsid w:val="001A31F6"/>
    <w:rsid w:val="001A3400"/>
    <w:rsid w:val="001B779D"/>
    <w:rsid w:val="001D6AD2"/>
    <w:rsid w:val="001E565A"/>
    <w:rsid w:val="001F1F0D"/>
    <w:rsid w:val="001F4381"/>
    <w:rsid w:val="00200C65"/>
    <w:rsid w:val="002025C9"/>
    <w:rsid w:val="00205FC7"/>
    <w:rsid w:val="00206B27"/>
    <w:rsid w:val="0021076C"/>
    <w:rsid w:val="00212927"/>
    <w:rsid w:val="00216357"/>
    <w:rsid w:val="00224133"/>
    <w:rsid w:val="00244F5C"/>
    <w:rsid w:val="00262BC5"/>
    <w:rsid w:val="00267BFE"/>
    <w:rsid w:val="002749DC"/>
    <w:rsid w:val="00275A53"/>
    <w:rsid w:val="00293515"/>
    <w:rsid w:val="002B3CC0"/>
    <w:rsid w:val="002B5D6C"/>
    <w:rsid w:val="002B7001"/>
    <w:rsid w:val="002C0476"/>
    <w:rsid w:val="002D25A2"/>
    <w:rsid w:val="002D301B"/>
    <w:rsid w:val="003067D7"/>
    <w:rsid w:val="00323348"/>
    <w:rsid w:val="00351E12"/>
    <w:rsid w:val="0036678A"/>
    <w:rsid w:val="00391728"/>
    <w:rsid w:val="00392F50"/>
    <w:rsid w:val="00393AC8"/>
    <w:rsid w:val="00393FE2"/>
    <w:rsid w:val="003A0A17"/>
    <w:rsid w:val="003A1D42"/>
    <w:rsid w:val="003A7854"/>
    <w:rsid w:val="003E1717"/>
    <w:rsid w:val="003E203D"/>
    <w:rsid w:val="003E7292"/>
    <w:rsid w:val="003E7B08"/>
    <w:rsid w:val="00400E96"/>
    <w:rsid w:val="00406514"/>
    <w:rsid w:val="004427AA"/>
    <w:rsid w:val="00456A4F"/>
    <w:rsid w:val="004629A9"/>
    <w:rsid w:val="00465714"/>
    <w:rsid w:val="004715DF"/>
    <w:rsid w:val="00495444"/>
    <w:rsid w:val="004A590C"/>
    <w:rsid w:val="004B15AE"/>
    <w:rsid w:val="004B32EE"/>
    <w:rsid w:val="004C0348"/>
    <w:rsid w:val="004F2877"/>
    <w:rsid w:val="005027CC"/>
    <w:rsid w:val="00514D4D"/>
    <w:rsid w:val="00520655"/>
    <w:rsid w:val="005271E7"/>
    <w:rsid w:val="00537DD9"/>
    <w:rsid w:val="0055392C"/>
    <w:rsid w:val="005710E6"/>
    <w:rsid w:val="005734F4"/>
    <w:rsid w:val="00581118"/>
    <w:rsid w:val="0058156C"/>
    <w:rsid w:val="00581E20"/>
    <w:rsid w:val="00592017"/>
    <w:rsid w:val="005A0B65"/>
    <w:rsid w:val="005A2CED"/>
    <w:rsid w:val="005A5092"/>
    <w:rsid w:val="005A7D16"/>
    <w:rsid w:val="005B5E5A"/>
    <w:rsid w:val="005C05E0"/>
    <w:rsid w:val="005C3CAD"/>
    <w:rsid w:val="005C421C"/>
    <w:rsid w:val="005C5C2E"/>
    <w:rsid w:val="005D5DCA"/>
    <w:rsid w:val="005E3CD9"/>
    <w:rsid w:val="005F2393"/>
    <w:rsid w:val="006105A2"/>
    <w:rsid w:val="00614C5C"/>
    <w:rsid w:val="00630EA2"/>
    <w:rsid w:val="00633FBD"/>
    <w:rsid w:val="00636A20"/>
    <w:rsid w:val="00652B5B"/>
    <w:rsid w:val="006608B5"/>
    <w:rsid w:val="0067153B"/>
    <w:rsid w:val="006816BA"/>
    <w:rsid w:val="006833AA"/>
    <w:rsid w:val="00687268"/>
    <w:rsid w:val="0069253B"/>
    <w:rsid w:val="006A30F3"/>
    <w:rsid w:val="006B5FBE"/>
    <w:rsid w:val="006C3455"/>
    <w:rsid w:val="006D0932"/>
    <w:rsid w:val="006D518A"/>
    <w:rsid w:val="006D68DD"/>
    <w:rsid w:val="006D74F9"/>
    <w:rsid w:val="006E295D"/>
    <w:rsid w:val="00702FBA"/>
    <w:rsid w:val="00715845"/>
    <w:rsid w:val="007365B0"/>
    <w:rsid w:val="007403E2"/>
    <w:rsid w:val="007407E9"/>
    <w:rsid w:val="007434B0"/>
    <w:rsid w:val="00750F22"/>
    <w:rsid w:val="0075183A"/>
    <w:rsid w:val="00774DF6"/>
    <w:rsid w:val="00794932"/>
    <w:rsid w:val="007B0047"/>
    <w:rsid w:val="007B506A"/>
    <w:rsid w:val="007B642B"/>
    <w:rsid w:val="007B7ADC"/>
    <w:rsid w:val="007C12A6"/>
    <w:rsid w:val="007C1B76"/>
    <w:rsid w:val="007D0C51"/>
    <w:rsid w:val="007D40D7"/>
    <w:rsid w:val="007E567D"/>
    <w:rsid w:val="007E6C83"/>
    <w:rsid w:val="007F55E9"/>
    <w:rsid w:val="00820E19"/>
    <w:rsid w:val="008221CF"/>
    <w:rsid w:val="00844435"/>
    <w:rsid w:val="00850F0E"/>
    <w:rsid w:val="00860742"/>
    <w:rsid w:val="0086353A"/>
    <w:rsid w:val="008635BB"/>
    <w:rsid w:val="0086393C"/>
    <w:rsid w:val="00871008"/>
    <w:rsid w:val="00885715"/>
    <w:rsid w:val="00894380"/>
    <w:rsid w:val="008A0397"/>
    <w:rsid w:val="008A2ACC"/>
    <w:rsid w:val="008A3CEA"/>
    <w:rsid w:val="008C12D3"/>
    <w:rsid w:val="008C4269"/>
    <w:rsid w:val="008C6C0A"/>
    <w:rsid w:val="008D2075"/>
    <w:rsid w:val="008F2236"/>
    <w:rsid w:val="00901CC2"/>
    <w:rsid w:val="00933400"/>
    <w:rsid w:val="0093380A"/>
    <w:rsid w:val="00935D28"/>
    <w:rsid w:val="00940598"/>
    <w:rsid w:val="00963D68"/>
    <w:rsid w:val="00973475"/>
    <w:rsid w:val="009D586B"/>
    <w:rsid w:val="009E3E32"/>
    <w:rsid w:val="009F6743"/>
    <w:rsid w:val="00A03D0D"/>
    <w:rsid w:val="00A11D3E"/>
    <w:rsid w:val="00A12854"/>
    <w:rsid w:val="00A27A4C"/>
    <w:rsid w:val="00A507B3"/>
    <w:rsid w:val="00A5478D"/>
    <w:rsid w:val="00A61B8D"/>
    <w:rsid w:val="00A71B90"/>
    <w:rsid w:val="00A71CB3"/>
    <w:rsid w:val="00A921EE"/>
    <w:rsid w:val="00A96D58"/>
    <w:rsid w:val="00AB2FFA"/>
    <w:rsid w:val="00AC3BE5"/>
    <w:rsid w:val="00AC6E88"/>
    <w:rsid w:val="00AD57B3"/>
    <w:rsid w:val="00AF107D"/>
    <w:rsid w:val="00AF1E6C"/>
    <w:rsid w:val="00B009E3"/>
    <w:rsid w:val="00B050C8"/>
    <w:rsid w:val="00B07A05"/>
    <w:rsid w:val="00B35434"/>
    <w:rsid w:val="00B42E1B"/>
    <w:rsid w:val="00B507DA"/>
    <w:rsid w:val="00B530B5"/>
    <w:rsid w:val="00B54FC5"/>
    <w:rsid w:val="00B639FD"/>
    <w:rsid w:val="00B652AD"/>
    <w:rsid w:val="00B662DD"/>
    <w:rsid w:val="00B66335"/>
    <w:rsid w:val="00B71A44"/>
    <w:rsid w:val="00B84867"/>
    <w:rsid w:val="00B90DCD"/>
    <w:rsid w:val="00B93AEA"/>
    <w:rsid w:val="00B93B74"/>
    <w:rsid w:val="00B95EDE"/>
    <w:rsid w:val="00BA3ED5"/>
    <w:rsid w:val="00BB4651"/>
    <w:rsid w:val="00BC3AB5"/>
    <w:rsid w:val="00BD0BCF"/>
    <w:rsid w:val="00BF3FB1"/>
    <w:rsid w:val="00C02E2E"/>
    <w:rsid w:val="00C1225E"/>
    <w:rsid w:val="00C16339"/>
    <w:rsid w:val="00C22A20"/>
    <w:rsid w:val="00C353E1"/>
    <w:rsid w:val="00C67CD3"/>
    <w:rsid w:val="00C77B1A"/>
    <w:rsid w:val="00C80365"/>
    <w:rsid w:val="00C83AEA"/>
    <w:rsid w:val="00C87B48"/>
    <w:rsid w:val="00C93089"/>
    <w:rsid w:val="00C94D53"/>
    <w:rsid w:val="00C95C60"/>
    <w:rsid w:val="00CA7C8C"/>
    <w:rsid w:val="00CB06AA"/>
    <w:rsid w:val="00CB16D9"/>
    <w:rsid w:val="00CB2D95"/>
    <w:rsid w:val="00CB7B51"/>
    <w:rsid w:val="00CC454E"/>
    <w:rsid w:val="00CC5376"/>
    <w:rsid w:val="00CD2FE2"/>
    <w:rsid w:val="00CD4032"/>
    <w:rsid w:val="00CD7E9E"/>
    <w:rsid w:val="00CE5BC3"/>
    <w:rsid w:val="00CE6D69"/>
    <w:rsid w:val="00CF71D6"/>
    <w:rsid w:val="00CF7441"/>
    <w:rsid w:val="00D02BE2"/>
    <w:rsid w:val="00D073BB"/>
    <w:rsid w:val="00D236FF"/>
    <w:rsid w:val="00D42A13"/>
    <w:rsid w:val="00D43B79"/>
    <w:rsid w:val="00D5245C"/>
    <w:rsid w:val="00D57846"/>
    <w:rsid w:val="00D75D5E"/>
    <w:rsid w:val="00D92E1C"/>
    <w:rsid w:val="00DB1F16"/>
    <w:rsid w:val="00DB3430"/>
    <w:rsid w:val="00DB422B"/>
    <w:rsid w:val="00DB46B8"/>
    <w:rsid w:val="00DB7ABC"/>
    <w:rsid w:val="00DC403F"/>
    <w:rsid w:val="00DC7F5A"/>
    <w:rsid w:val="00DE2FBA"/>
    <w:rsid w:val="00DE4661"/>
    <w:rsid w:val="00E07F44"/>
    <w:rsid w:val="00E2144D"/>
    <w:rsid w:val="00E32CB0"/>
    <w:rsid w:val="00E41A1E"/>
    <w:rsid w:val="00E5261B"/>
    <w:rsid w:val="00E83F34"/>
    <w:rsid w:val="00E96257"/>
    <w:rsid w:val="00EA29D5"/>
    <w:rsid w:val="00EB4525"/>
    <w:rsid w:val="00EC1932"/>
    <w:rsid w:val="00EC1DA2"/>
    <w:rsid w:val="00EE318D"/>
    <w:rsid w:val="00EE6D3F"/>
    <w:rsid w:val="00EF4C9E"/>
    <w:rsid w:val="00F37E59"/>
    <w:rsid w:val="00F40D2D"/>
    <w:rsid w:val="00F4163B"/>
    <w:rsid w:val="00F530E9"/>
    <w:rsid w:val="00F60C1C"/>
    <w:rsid w:val="00F72EFD"/>
    <w:rsid w:val="00F82F01"/>
    <w:rsid w:val="00F850E0"/>
    <w:rsid w:val="00F85537"/>
    <w:rsid w:val="00F91AE4"/>
    <w:rsid w:val="00FB264C"/>
    <w:rsid w:val="00FB4D2D"/>
    <w:rsid w:val="00FC3665"/>
    <w:rsid w:val="00FD5297"/>
    <w:rsid w:val="00FE0077"/>
    <w:rsid w:val="01012DFD"/>
    <w:rsid w:val="010F7A70"/>
    <w:rsid w:val="011707C2"/>
    <w:rsid w:val="011F1E56"/>
    <w:rsid w:val="012231B7"/>
    <w:rsid w:val="012605DE"/>
    <w:rsid w:val="01A35288"/>
    <w:rsid w:val="01D83E43"/>
    <w:rsid w:val="026865F4"/>
    <w:rsid w:val="027E4583"/>
    <w:rsid w:val="029C57D8"/>
    <w:rsid w:val="02A82C7C"/>
    <w:rsid w:val="02B136D0"/>
    <w:rsid w:val="03345B01"/>
    <w:rsid w:val="035F6219"/>
    <w:rsid w:val="03783BEA"/>
    <w:rsid w:val="03AE1CE1"/>
    <w:rsid w:val="03B24141"/>
    <w:rsid w:val="03CC09ED"/>
    <w:rsid w:val="03CE6D7B"/>
    <w:rsid w:val="03CF1087"/>
    <w:rsid w:val="03EA4F9D"/>
    <w:rsid w:val="0424317E"/>
    <w:rsid w:val="04641540"/>
    <w:rsid w:val="04BD1D53"/>
    <w:rsid w:val="04CC7C6B"/>
    <w:rsid w:val="04D6072B"/>
    <w:rsid w:val="050B2D0A"/>
    <w:rsid w:val="050F613F"/>
    <w:rsid w:val="05192885"/>
    <w:rsid w:val="051B339C"/>
    <w:rsid w:val="0547792B"/>
    <w:rsid w:val="055841FF"/>
    <w:rsid w:val="055E7A6F"/>
    <w:rsid w:val="056B6321"/>
    <w:rsid w:val="057A070C"/>
    <w:rsid w:val="05A37322"/>
    <w:rsid w:val="05B01562"/>
    <w:rsid w:val="05C16095"/>
    <w:rsid w:val="05D35E43"/>
    <w:rsid w:val="060C0CEE"/>
    <w:rsid w:val="060F4C34"/>
    <w:rsid w:val="060F5D1B"/>
    <w:rsid w:val="063A41FB"/>
    <w:rsid w:val="063B5BB4"/>
    <w:rsid w:val="06475027"/>
    <w:rsid w:val="06484270"/>
    <w:rsid w:val="06637376"/>
    <w:rsid w:val="06835688"/>
    <w:rsid w:val="0687437D"/>
    <w:rsid w:val="06915CE5"/>
    <w:rsid w:val="06DD5A7A"/>
    <w:rsid w:val="06E21777"/>
    <w:rsid w:val="06F3234F"/>
    <w:rsid w:val="07317747"/>
    <w:rsid w:val="07474D5F"/>
    <w:rsid w:val="07542D66"/>
    <w:rsid w:val="07774C79"/>
    <w:rsid w:val="0787103D"/>
    <w:rsid w:val="07B41FDC"/>
    <w:rsid w:val="07CA6794"/>
    <w:rsid w:val="07CC0957"/>
    <w:rsid w:val="08926578"/>
    <w:rsid w:val="0898618D"/>
    <w:rsid w:val="08D04C24"/>
    <w:rsid w:val="08F11588"/>
    <w:rsid w:val="092B3F19"/>
    <w:rsid w:val="09404FF9"/>
    <w:rsid w:val="097920F6"/>
    <w:rsid w:val="098132FE"/>
    <w:rsid w:val="098E23E1"/>
    <w:rsid w:val="099860F9"/>
    <w:rsid w:val="099A15EC"/>
    <w:rsid w:val="09B17328"/>
    <w:rsid w:val="09C31459"/>
    <w:rsid w:val="09CA29AD"/>
    <w:rsid w:val="09CC1D21"/>
    <w:rsid w:val="09E06332"/>
    <w:rsid w:val="0A0E0678"/>
    <w:rsid w:val="0A494DCA"/>
    <w:rsid w:val="0A693B45"/>
    <w:rsid w:val="0A7F646A"/>
    <w:rsid w:val="0A834128"/>
    <w:rsid w:val="0A9C27AE"/>
    <w:rsid w:val="0AB03092"/>
    <w:rsid w:val="0AFE673B"/>
    <w:rsid w:val="0B5132AF"/>
    <w:rsid w:val="0B5B735A"/>
    <w:rsid w:val="0BB4501C"/>
    <w:rsid w:val="0BCE0EF9"/>
    <w:rsid w:val="0BE0474D"/>
    <w:rsid w:val="0C394D82"/>
    <w:rsid w:val="0C4F334F"/>
    <w:rsid w:val="0C7F239E"/>
    <w:rsid w:val="0C9542E7"/>
    <w:rsid w:val="0CA267A1"/>
    <w:rsid w:val="0CA757B9"/>
    <w:rsid w:val="0CAF3A72"/>
    <w:rsid w:val="0CC62D10"/>
    <w:rsid w:val="0D3B7785"/>
    <w:rsid w:val="0DA852AA"/>
    <w:rsid w:val="0E0E5914"/>
    <w:rsid w:val="0E811455"/>
    <w:rsid w:val="0E8C1E35"/>
    <w:rsid w:val="0E9C12F8"/>
    <w:rsid w:val="0EAA3C8D"/>
    <w:rsid w:val="0ED85B37"/>
    <w:rsid w:val="0EEF541A"/>
    <w:rsid w:val="0F192F1F"/>
    <w:rsid w:val="0F774E45"/>
    <w:rsid w:val="0FD64C94"/>
    <w:rsid w:val="0FEB2B69"/>
    <w:rsid w:val="10087DF2"/>
    <w:rsid w:val="104D1956"/>
    <w:rsid w:val="10C479A3"/>
    <w:rsid w:val="10F417CA"/>
    <w:rsid w:val="11C723EF"/>
    <w:rsid w:val="11E573D9"/>
    <w:rsid w:val="11EF2D22"/>
    <w:rsid w:val="12015B19"/>
    <w:rsid w:val="12040384"/>
    <w:rsid w:val="12312CFE"/>
    <w:rsid w:val="13577837"/>
    <w:rsid w:val="137C15A2"/>
    <w:rsid w:val="13E43BCE"/>
    <w:rsid w:val="13F30F92"/>
    <w:rsid w:val="14173F06"/>
    <w:rsid w:val="144D1BE1"/>
    <w:rsid w:val="145B75A7"/>
    <w:rsid w:val="14875206"/>
    <w:rsid w:val="14895522"/>
    <w:rsid w:val="148B0005"/>
    <w:rsid w:val="14B35F82"/>
    <w:rsid w:val="14E5377F"/>
    <w:rsid w:val="14EA50D8"/>
    <w:rsid w:val="14EB0BFA"/>
    <w:rsid w:val="15060E27"/>
    <w:rsid w:val="152C7339"/>
    <w:rsid w:val="153826B9"/>
    <w:rsid w:val="15420170"/>
    <w:rsid w:val="15855175"/>
    <w:rsid w:val="15ED270C"/>
    <w:rsid w:val="16073F4C"/>
    <w:rsid w:val="162463F1"/>
    <w:rsid w:val="162B07A3"/>
    <w:rsid w:val="164240A5"/>
    <w:rsid w:val="166F29CE"/>
    <w:rsid w:val="16A05670"/>
    <w:rsid w:val="16A47B6E"/>
    <w:rsid w:val="16AC05BC"/>
    <w:rsid w:val="16DD6D5E"/>
    <w:rsid w:val="16FB0F18"/>
    <w:rsid w:val="17B47801"/>
    <w:rsid w:val="17CA04DE"/>
    <w:rsid w:val="1825088B"/>
    <w:rsid w:val="18335942"/>
    <w:rsid w:val="18634FEE"/>
    <w:rsid w:val="186E252B"/>
    <w:rsid w:val="18700376"/>
    <w:rsid w:val="18B778D5"/>
    <w:rsid w:val="18B95FAC"/>
    <w:rsid w:val="18BB5506"/>
    <w:rsid w:val="18E61588"/>
    <w:rsid w:val="18F261C5"/>
    <w:rsid w:val="18FB5C8A"/>
    <w:rsid w:val="19626E18"/>
    <w:rsid w:val="19647F65"/>
    <w:rsid w:val="19742913"/>
    <w:rsid w:val="19B06076"/>
    <w:rsid w:val="19E5611A"/>
    <w:rsid w:val="1A1C4170"/>
    <w:rsid w:val="1A6706D8"/>
    <w:rsid w:val="1ACC22B7"/>
    <w:rsid w:val="1AD527E5"/>
    <w:rsid w:val="1AE82A50"/>
    <w:rsid w:val="1AFF1B34"/>
    <w:rsid w:val="1B0F1405"/>
    <w:rsid w:val="1B3B5D32"/>
    <w:rsid w:val="1B5F4187"/>
    <w:rsid w:val="1B6B1C39"/>
    <w:rsid w:val="1BCD05F9"/>
    <w:rsid w:val="1BFC3553"/>
    <w:rsid w:val="1C1211C5"/>
    <w:rsid w:val="1C920C8A"/>
    <w:rsid w:val="1CA770E7"/>
    <w:rsid w:val="1CB40C55"/>
    <w:rsid w:val="1CEB2D2C"/>
    <w:rsid w:val="1D495585"/>
    <w:rsid w:val="1D635ADB"/>
    <w:rsid w:val="1D864809"/>
    <w:rsid w:val="1DBF0F1B"/>
    <w:rsid w:val="1E3A0CCC"/>
    <w:rsid w:val="1E5C215F"/>
    <w:rsid w:val="1E814108"/>
    <w:rsid w:val="1E9A1358"/>
    <w:rsid w:val="1E9C4069"/>
    <w:rsid w:val="1EB903FB"/>
    <w:rsid w:val="1ECD3890"/>
    <w:rsid w:val="1EDB3F0D"/>
    <w:rsid w:val="1F2934E8"/>
    <w:rsid w:val="1F833ECB"/>
    <w:rsid w:val="1F8E670A"/>
    <w:rsid w:val="1F9767F0"/>
    <w:rsid w:val="1FC71A12"/>
    <w:rsid w:val="1FE60C1C"/>
    <w:rsid w:val="200913B9"/>
    <w:rsid w:val="20133C7D"/>
    <w:rsid w:val="201B2068"/>
    <w:rsid w:val="2044286A"/>
    <w:rsid w:val="204573A9"/>
    <w:rsid w:val="204D739A"/>
    <w:rsid w:val="20782217"/>
    <w:rsid w:val="20C568AC"/>
    <w:rsid w:val="213C7296"/>
    <w:rsid w:val="214937C4"/>
    <w:rsid w:val="21553232"/>
    <w:rsid w:val="21A8791A"/>
    <w:rsid w:val="21B445DF"/>
    <w:rsid w:val="21E61A4A"/>
    <w:rsid w:val="222D4D1C"/>
    <w:rsid w:val="226A536A"/>
    <w:rsid w:val="22806A70"/>
    <w:rsid w:val="22B26EF0"/>
    <w:rsid w:val="22FF569F"/>
    <w:rsid w:val="23BF0FD2"/>
    <w:rsid w:val="23F139DE"/>
    <w:rsid w:val="23F41006"/>
    <w:rsid w:val="23F50720"/>
    <w:rsid w:val="24175D1E"/>
    <w:rsid w:val="24241E8F"/>
    <w:rsid w:val="244E7426"/>
    <w:rsid w:val="245C5551"/>
    <w:rsid w:val="24656842"/>
    <w:rsid w:val="246679AF"/>
    <w:rsid w:val="24686978"/>
    <w:rsid w:val="24B71AEE"/>
    <w:rsid w:val="24C213A4"/>
    <w:rsid w:val="24D312EE"/>
    <w:rsid w:val="24E21A65"/>
    <w:rsid w:val="250A051B"/>
    <w:rsid w:val="253C13ED"/>
    <w:rsid w:val="25832C2D"/>
    <w:rsid w:val="25994E4F"/>
    <w:rsid w:val="25A55C64"/>
    <w:rsid w:val="25BB20F2"/>
    <w:rsid w:val="25F8214D"/>
    <w:rsid w:val="26165B4D"/>
    <w:rsid w:val="263142F8"/>
    <w:rsid w:val="266C666E"/>
    <w:rsid w:val="267400C1"/>
    <w:rsid w:val="268C2564"/>
    <w:rsid w:val="26BB76AA"/>
    <w:rsid w:val="26BF22FB"/>
    <w:rsid w:val="27527804"/>
    <w:rsid w:val="27952ABB"/>
    <w:rsid w:val="280942F9"/>
    <w:rsid w:val="280E600B"/>
    <w:rsid w:val="28171891"/>
    <w:rsid w:val="2869634F"/>
    <w:rsid w:val="289D5092"/>
    <w:rsid w:val="28A61F59"/>
    <w:rsid w:val="28AE34EF"/>
    <w:rsid w:val="28B71C2D"/>
    <w:rsid w:val="28FF7C82"/>
    <w:rsid w:val="291A0ACC"/>
    <w:rsid w:val="296E0784"/>
    <w:rsid w:val="29773704"/>
    <w:rsid w:val="29784151"/>
    <w:rsid w:val="29954297"/>
    <w:rsid w:val="29A37FCE"/>
    <w:rsid w:val="29BD018C"/>
    <w:rsid w:val="2A4F06FE"/>
    <w:rsid w:val="2A6E3972"/>
    <w:rsid w:val="2A76550E"/>
    <w:rsid w:val="2A7F68B4"/>
    <w:rsid w:val="2B0C60CC"/>
    <w:rsid w:val="2B150EC4"/>
    <w:rsid w:val="2B1C0AC0"/>
    <w:rsid w:val="2B763C3B"/>
    <w:rsid w:val="2B812C65"/>
    <w:rsid w:val="2BA738DB"/>
    <w:rsid w:val="2C041392"/>
    <w:rsid w:val="2C477172"/>
    <w:rsid w:val="2C695F2C"/>
    <w:rsid w:val="2C8B69F6"/>
    <w:rsid w:val="2CBD3B0E"/>
    <w:rsid w:val="2CE504F5"/>
    <w:rsid w:val="2CE63100"/>
    <w:rsid w:val="2CE8590C"/>
    <w:rsid w:val="2CF66F7C"/>
    <w:rsid w:val="2CF71F3B"/>
    <w:rsid w:val="2CF94588"/>
    <w:rsid w:val="2D25162E"/>
    <w:rsid w:val="2D656E10"/>
    <w:rsid w:val="2D7D0D85"/>
    <w:rsid w:val="2D861780"/>
    <w:rsid w:val="2DBB5AC8"/>
    <w:rsid w:val="2DC62318"/>
    <w:rsid w:val="2DCA3A67"/>
    <w:rsid w:val="2E3121F2"/>
    <w:rsid w:val="2E352500"/>
    <w:rsid w:val="2E7E6154"/>
    <w:rsid w:val="2E9D05F6"/>
    <w:rsid w:val="2ED35BA9"/>
    <w:rsid w:val="2EEF425E"/>
    <w:rsid w:val="2F0902B7"/>
    <w:rsid w:val="2F550278"/>
    <w:rsid w:val="2F584530"/>
    <w:rsid w:val="2F983D70"/>
    <w:rsid w:val="2FA27103"/>
    <w:rsid w:val="2FA81AD0"/>
    <w:rsid w:val="2FC51CEF"/>
    <w:rsid w:val="2FF54A3C"/>
    <w:rsid w:val="305D61DF"/>
    <w:rsid w:val="30642D03"/>
    <w:rsid w:val="30690319"/>
    <w:rsid w:val="306E285E"/>
    <w:rsid w:val="30786F38"/>
    <w:rsid w:val="307E2E48"/>
    <w:rsid w:val="30B56773"/>
    <w:rsid w:val="30DC1898"/>
    <w:rsid w:val="30E448E9"/>
    <w:rsid w:val="30EE5158"/>
    <w:rsid w:val="31566653"/>
    <w:rsid w:val="316343EF"/>
    <w:rsid w:val="319971CD"/>
    <w:rsid w:val="31A00E7E"/>
    <w:rsid w:val="31C955B9"/>
    <w:rsid w:val="32086184"/>
    <w:rsid w:val="321D7AC0"/>
    <w:rsid w:val="322E0EA5"/>
    <w:rsid w:val="324B2D12"/>
    <w:rsid w:val="32581E77"/>
    <w:rsid w:val="32DD4A0A"/>
    <w:rsid w:val="32E3386B"/>
    <w:rsid w:val="332523C2"/>
    <w:rsid w:val="335F11A0"/>
    <w:rsid w:val="336109E8"/>
    <w:rsid w:val="33757210"/>
    <w:rsid w:val="337E4F8C"/>
    <w:rsid w:val="33910F8C"/>
    <w:rsid w:val="339E06AC"/>
    <w:rsid w:val="33AB4C84"/>
    <w:rsid w:val="33AF315E"/>
    <w:rsid w:val="33B274F4"/>
    <w:rsid w:val="342966A0"/>
    <w:rsid w:val="34C03579"/>
    <w:rsid w:val="34C95A88"/>
    <w:rsid w:val="34CC1C91"/>
    <w:rsid w:val="35477EE3"/>
    <w:rsid w:val="355F3932"/>
    <w:rsid w:val="357B10B0"/>
    <w:rsid w:val="35934F0E"/>
    <w:rsid w:val="359939DE"/>
    <w:rsid w:val="35A66C88"/>
    <w:rsid w:val="35B20725"/>
    <w:rsid w:val="35BC76C4"/>
    <w:rsid w:val="36111B5D"/>
    <w:rsid w:val="362C1FD2"/>
    <w:rsid w:val="363B5BE8"/>
    <w:rsid w:val="367E305C"/>
    <w:rsid w:val="367F296F"/>
    <w:rsid w:val="36823708"/>
    <w:rsid w:val="36B4538D"/>
    <w:rsid w:val="36D364FA"/>
    <w:rsid w:val="36EE5F47"/>
    <w:rsid w:val="3719263A"/>
    <w:rsid w:val="374667FF"/>
    <w:rsid w:val="3756248A"/>
    <w:rsid w:val="37A775B1"/>
    <w:rsid w:val="37A91BB8"/>
    <w:rsid w:val="37DF2E57"/>
    <w:rsid w:val="37E94AC0"/>
    <w:rsid w:val="38112365"/>
    <w:rsid w:val="38423EE7"/>
    <w:rsid w:val="386608E1"/>
    <w:rsid w:val="38B5513E"/>
    <w:rsid w:val="38BA1CC3"/>
    <w:rsid w:val="38F769FB"/>
    <w:rsid w:val="38FD60DD"/>
    <w:rsid w:val="390F6DD8"/>
    <w:rsid w:val="393D70B2"/>
    <w:rsid w:val="394A0E14"/>
    <w:rsid w:val="3952784D"/>
    <w:rsid w:val="39805202"/>
    <w:rsid w:val="39942D5C"/>
    <w:rsid w:val="39A004B8"/>
    <w:rsid w:val="3A40152A"/>
    <w:rsid w:val="3A416ABA"/>
    <w:rsid w:val="3A75161A"/>
    <w:rsid w:val="3AB54229"/>
    <w:rsid w:val="3AD47D93"/>
    <w:rsid w:val="3ADE1605"/>
    <w:rsid w:val="3B106AEE"/>
    <w:rsid w:val="3B1366A0"/>
    <w:rsid w:val="3B344EB5"/>
    <w:rsid w:val="3B433DA7"/>
    <w:rsid w:val="3BDF4FD2"/>
    <w:rsid w:val="3C1B721C"/>
    <w:rsid w:val="3C2A2CEC"/>
    <w:rsid w:val="3C89785E"/>
    <w:rsid w:val="3C9626A8"/>
    <w:rsid w:val="3CC37211"/>
    <w:rsid w:val="3D7D1F70"/>
    <w:rsid w:val="3D943567"/>
    <w:rsid w:val="3D9F077B"/>
    <w:rsid w:val="3DC221F7"/>
    <w:rsid w:val="3DE81722"/>
    <w:rsid w:val="3E137365"/>
    <w:rsid w:val="3E611FD9"/>
    <w:rsid w:val="3E833350"/>
    <w:rsid w:val="3E8659A5"/>
    <w:rsid w:val="3E8E28DA"/>
    <w:rsid w:val="3E9E6BD4"/>
    <w:rsid w:val="3EB97014"/>
    <w:rsid w:val="3ED85D82"/>
    <w:rsid w:val="3EE07849"/>
    <w:rsid w:val="3EF3686A"/>
    <w:rsid w:val="3EF5055A"/>
    <w:rsid w:val="3F5832A5"/>
    <w:rsid w:val="3F8F178A"/>
    <w:rsid w:val="3FC91AB9"/>
    <w:rsid w:val="3FEA2069"/>
    <w:rsid w:val="4029171B"/>
    <w:rsid w:val="403777FE"/>
    <w:rsid w:val="404E4B0D"/>
    <w:rsid w:val="407615D1"/>
    <w:rsid w:val="40933717"/>
    <w:rsid w:val="409357D1"/>
    <w:rsid w:val="40A81CD1"/>
    <w:rsid w:val="40D26326"/>
    <w:rsid w:val="412A2CD6"/>
    <w:rsid w:val="4140658B"/>
    <w:rsid w:val="415A03C4"/>
    <w:rsid w:val="4175168B"/>
    <w:rsid w:val="418F5096"/>
    <w:rsid w:val="4192358A"/>
    <w:rsid w:val="41B97FF9"/>
    <w:rsid w:val="42005DCC"/>
    <w:rsid w:val="42032252"/>
    <w:rsid w:val="426C360A"/>
    <w:rsid w:val="428A1D0A"/>
    <w:rsid w:val="42981CA5"/>
    <w:rsid w:val="42B460E9"/>
    <w:rsid w:val="42DA756A"/>
    <w:rsid w:val="42DC5421"/>
    <w:rsid w:val="42FE6FB2"/>
    <w:rsid w:val="43133BBE"/>
    <w:rsid w:val="4342061B"/>
    <w:rsid w:val="4380094B"/>
    <w:rsid w:val="43CE0534"/>
    <w:rsid w:val="43DC47D2"/>
    <w:rsid w:val="43E01DA6"/>
    <w:rsid w:val="444953A1"/>
    <w:rsid w:val="44942CA2"/>
    <w:rsid w:val="44D43937"/>
    <w:rsid w:val="450E4338"/>
    <w:rsid w:val="45351893"/>
    <w:rsid w:val="453D715D"/>
    <w:rsid w:val="45651A1C"/>
    <w:rsid w:val="45AA4758"/>
    <w:rsid w:val="45C81A1C"/>
    <w:rsid w:val="45CD63E8"/>
    <w:rsid w:val="45D623D9"/>
    <w:rsid w:val="45DD3BE3"/>
    <w:rsid w:val="46284AAB"/>
    <w:rsid w:val="465D2073"/>
    <w:rsid w:val="466412EB"/>
    <w:rsid w:val="46693892"/>
    <w:rsid w:val="467932FD"/>
    <w:rsid w:val="467B4E31"/>
    <w:rsid w:val="46B260DE"/>
    <w:rsid w:val="46BF681F"/>
    <w:rsid w:val="470C2408"/>
    <w:rsid w:val="47385D92"/>
    <w:rsid w:val="47631251"/>
    <w:rsid w:val="477330C1"/>
    <w:rsid w:val="47A51340"/>
    <w:rsid w:val="480530A5"/>
    <w:rsid w:val="483D37E8"/>
    <w:rsid w:val="48491E1F"/>
    <w:rsid w:val="484F58F8"/>
    <w:rsid w:val="48BC7142"/>
    <w:rsid w:val="48C97D59"/>
    <w:rsid w:val="48D657BD"/>
    <w:rsid w:val="48E54C21"/>
    <w:rsid w:val="491C1D0B"/>
    <w:rsid w:val="49920916"/>
    <w:rsid w:val="499758E9"/>
    <w:rsid w:val="499830C9"/>
    <w:rsid w:val="49ED44D2"/>
    <w:rsid w:val="4A2545DB"/>
    <w:rsid w:val="4A5C7ED7"/>
    <w:rsid w:val="4A6B4BA7"/>
    <w:rsid w:val="4A6B7DC2"/>
    <w:rsid w:val="4AAD4F0A"/>
    <w:rsid w:val="4AE13FFC"/>
    <w:rsid w:val="4B462149"/>
    <w:rsid w:val="4B6163EF"/>
    <w:rsid w:val="4BCD4066"/>
    <w:rsid w:val="4BDD272A"/>
    <w:rsid w:val="4BEB61AD"/>
    <w:rsid w:val="4C1F5752"/>
    <w:rsid w:val="4C2E70AF"/>
    <w:rsid w:val="4C9F41EC"/>
    <w:rsid w:val="4CF3515B"/>
    <w:rsid w:val="4D257493"/>
    <w:rsid w:val="4D2B7B24"/>
    <w:rsid w:val="4D2D5C52"/>
    <w:rsid w:val="4D365B5C"/>
    <w:rsid w:val="4DF67237"/>
    <w:rsid w:val="4DFD4E34"/>
    <w:rsid w:val="4DFF73D7"/>
    <w:rsid w:val="4DFF78CC"/>
    <w:rsid w:val="4E0972C5"/>
    <w:rsid w:val="4E101054"/>
    <w:rsid w:val="4E1C66DB"/>
    <w:rsid w:val="4E565F7C"/>
    <w:rsid w:val="4E7362A4"/>
    <w:rsid w:val="4E9D3DD5"/>
    <w:rsid w:val="4EB97FA7"/>
    <w:rsid w:val="4EE443A5"/>
    <w:rsid w:val="4EE63D0B"/>
    <w:rsid w:val="4F1610A9"/>
    <w:rsid w:val="4F382061"/>
    <w:rsid w:val="4F401D89"/>
    <w:rsid w:val="4F402328"/>
    <w:rsid w:val="4F511F12"/>
    <w:rsid w:val="4F771E4F"/>
    <w:rsid w:val="4FB3278C"/>
    <w:rsid w:val="501632AE"/>
    <w:rsid w:val="501B3C78"/>
    <w:rsid w:val="5022610D"/>
    <w:rsid w:val="50424FD7"/>
    <w:rsid w:val="50426F3D"/>
    <w:rsid w:val="505A0362"/>
    <w:rsid w:val="506E1CE7"/>
    <w:rsid w:val="50765AE9"/>
    <w:rsid w:val="50A4509B"/>
    <w:rsid w:val="50DD2527"/>
    <w:rsid w:val="50E05B07"/>
    <w:rsid w:val="513D2E37"/>
    <w:rsid w:val="51666EB3"/>
    <w:rsid w:val="51811A90"/>
    <w:rsid w:val="51860692"/>
    <w:rsid w:val="51DC3BEB"/>
    <w:rsid w:val="52126181"/>
    <w:rsid w:val="521B1061"/>
    <w:rsid w:val="522849FF"/>
    <w:rsid w:val="522852AF"/>
    <w:rsid w:val="528128DE"/>
    <w:rsid w:val="52814E6B"/>
    <w:rsid w:val="52AD788F"/>
    <w:rsid w:val="52B43FC6"/>
    <w:rsid w:val="52D22BC7"/>
    <w:rsid w:val="52D3095C"/>
    <w:rsid w:val="52FE572B"/>
    <w:rsid w:val="532F58C4"/>
    <w:rsid w:val="53717DF7"/>
    <w:rsid w:val="53975EAA"/>
    <w:rsid w:val="53A56289"/>
    <w:rsid w:val="53A94236"/>
    <w:rsid w:val="53AD293B"/>
    <w:rsid w:val="53CA1E82"/>
    <w:rsid w:val="53D31EFE"/>
    <w:rsid w:val="540A6F43"/>
    <w:rsid w:val="54163469"/>
    <w:rsid w:val="542B30A1"/>
    <w:rsid w:val="547F2A98"/>
    <w:rsid w:val="54953D71"/>
    <w:rsid w:val="54C13F0A"/>
    <w:rsid w:val="54EF59F7"/>
    <w:rsid w:val="55311752"/>
    <w:rsid w:val="55700262"/>
    <w:rsid w:val="55772D96"/>
    <w:rsid w:val="55867FE0"/>
    <w:rsid w:val="55F74063"/>
    <w:rsid w:val="561F5670"/>
    <w:rsid w:val="563A307D"/>
    <w:rsid w:val="56443B98"/>
    <w:rsid w:val="564D7E91"/>
    <w:rsid w:val="56542319"/>
    <w:rsid w:val="565A2F09"/>
    <w:rsid w:val="568A2540"/>
    <w:rsid w:val="570267EF"/>
    <w:rsid w:val="57080915"/>
    <w:rsid w:val="5723509E"/>
    <w:rsid w:val="572614FE"/>
    <w:rsid w:val="574D7F39"/>
    <w:rsid w:val="574F7F5F"/>
    <w:rsid w:val="57897A03"/>
    <w:rsid w:val="57C42440"/>
    <w:rsid w:val="58087078"/>
    <w:rsid w:val="581B4218"/>
    <w:rsid w:val="58217687"/>
    <w:rsid w:val="585173E6"/>
    <w:rsid w:val="588E7100"/>
    <w:rsid w:val="588F69A9"/>
    <w:rsid w:val="589D03E9"/>
    <w:rsid w:val="58EF7CF4"/>
    <w:rsid w:val="58F86CFE"/>
    <w:rsid w:val="590E3783"/>
    <w:rsid w:val="597605C3"/>
    <w:rsid w:val="59A26455"/>
    <w:rsid w:val="59C0360B"/>
    <w:rsid w:val="59D8187F"/>
    <w:rsid w:val="59ED4207"/>
    <w:rsid w:val="5A2429F2"/>
    <w:rsid w:val="5A243434"/>
    <w:rsid w:val="5A2C47FD"/>
    <w:rsid w:val="5A502D96"/>
    <w:rsid w:val="5A6519EE"/>
    <w:rsid w:val="5A6803F0"/>
    <w:rsid w:val="5A785017"/>
    <w:rsid w:val="5A992C3F"/>
    <w:rsid w:val="5AC8702A"/>
    <w:rsid w:val="5AE72F18"/>
    <w:rsid w:val="5B5C0611"/>
    <w:rsid w:val="5B7C6E28"/>
    <w:rsid w:val="5B8644D4"/>
    <w:rsid w:val="5B93789F"/>
    <w:rsid w:val="5BF04833"/>
    <w:rsid w:val="5C0043F7"/>
    <w:rsid w:val="5C013F91"/>
    <w:rsid w:val="5C0A3A0D"/>
    <w:rsid w:val="5C5E592F"/>
    <w:rsid w:val="5C614E9C"/>
    <w:rsid w:val="5CAE3E3B"/>
    <w:rsid w:val="5CB17779"/>
    <w:rsid w:val="5CE357C3"/>
    <w:rsid w:val="5D7A514E"/>
    <w:rsid w:val="5DCD3D8B"/>
    <w:rsid w:val="5E172B59"/>
    <w:rsid w:val="5E250A59"/>
    <w:rsid w:val="5E281D60"/>
    <w:rsid w:val="5E306E6D"/>
    <w:rsid w:val="5E7D7EB2"/>
    <w:rsid w:val="5E95424B"/>
    <w:rsid w:val="5EA96EE9"/>
    <w:rsid w:val="5F1C284B"/>
    <w:rsid w:val="5F7052AD"/>
    <w:rsid w:val="5FD02F8C"/>
    <w:rsid w:val="5FD74B21"/>
    <w:rsid w:val="5FDD28F4"/>
    <w:rsid w:val="601E18C0"/>
    <w:rsid w:val="608A2A28"/>
    <w:rsid w:val="60992428"/>
    <w:rsid w:val="60F82FFC"/>
    <w:rsid w:val="610A7581"/>
    <w:rsid w:val="61272A00"/>
    <w:rsid w:val="613A2241"/>
    <w:rsid w:val="614C5BCD"/>
    <w:rsid w:val="61626867"/>
    <w:rsid w:val="618502FF"/>
    <w:rsid w:val="61A32774"/>
    <w:rsid w:val="61C272B4"/>
    <w:rsid w:val="61F40B31"/>
    <w:rsid w:val="61F65D90"/>
    <w:rsid w:val="62325AA7"/>
    <w:rsid w:val="624C71D1"/>
    <w:rsid w:val="62790D76"/>
    <w:rsid w:val="628F1FD7"/>
    <w:rsid w:val="629E3416"/>
    <w:rsid w:val="62FD4468"/>
    <w:rsid w:val="630023DC"/>
    <w:rsid w:val="6326073F"/>
    <w:rsid w:val="63450607"/>
    <w:rsid w:val="634A4E46"/>
    <w:rsid w:val="635D440B"/>
    <w:rsid w:val="638C5DF4"/>
    <w:rsid w:val="63AC1BBE"/>
    <w:rsid w:val="63B012E6"/>
    <w:rsid w:val="63B31338"/>
    <w:rsid w:val="63BF1A25"/>
    <w:rsid w:val="64271C71"/>
    <w:rsid w:val="642978EE"/>
    <w:rsid w:val="6439152B"/>
    <w:rsid w:val="646C07DE"/>
    <w:rsid w:val="647453C2"/>
    <w:rsid w:val="64981C16"/>
    <w:rsid w:val="64AC577F"/>
    <w:rsid w:val="64B77826"/>
    <w:rsid w:val="64E942A6"/>
    <w:rsid w:val="64E973C9"/>
    <w:rsid w:val="654021EB"/>
    <w:rsid w:val="65A14ECE"/>
    <w:rsid w:val="65B6501A"/>
    <w:rsid w:val="65BF3DE9"/>
    <w:rsid w:val="660E5A31"/>
    <w:rsid w:val="6678322A"/>
    <w:rsid w:val="669F6390"/>
    <w:rsid w:val="66BD5217"/>
    <w:rsid w:val="672664A2"/>
    <w:rsid w:val="673047CB"/>
    <w:rsid w:val="674143EF"/>
    <w:rsid w:val="676357AC"/>
    <w:rsid w:val="67787C6A"/>
    <w:rsid w:val="67DE37A9"/>
    <w:rsid w:val="67E55C24"/>
    <w:rsid w:val="680E2045"/>
    <w:rsid w:val="68486002"/>
    <w:rsid w:val="685721DB"/>
    <w:rsid w:val="686C105A"/>
    <w:rsid w:val="686E1AC3"/>
    <w:rsid w:val="687742EB"/>
    <w:rsid w:val="68AE37D8"/>
    <w:rsid w:val="6929641E"/>
    <w:rsid w:val="69320E3B"/>
    <w:rsid w:val="6941230E"/>
    <w:rsid w:val="69C30301"/>
    <w:rsid w:val="69E916A7"/>
    <w:rsid w:val="6A1F7C67"/>
    <w:rsid w:val="6A3B6285"/>
    <w:rsid w:val="6AA67C5B"/>
    <w:rsid w:val="6B1D6683"/>
    <w:rsid w:val="6B462E8F"/>
    <w:rsid w:val="6B527E9A"/>
    <w:rsid w:val="6B84170D"/>
    <w:rsid w:val="6B8560D5"/>
    <w:rsid w:val="6B8B3A2E"/>
    <w:rsid w:val="6B956B8C"/>
    <w:rsid w:val="6BC961BB"/>
    <w:rsid w:val="6C4C7938"/>
    <w:rsid w:val="6C704C32"/>
    <w:rsid w:val="6C823A73"/>
    <w:rsid w:val="6CA51CB6"/>
    <w:rsid w:val="6CAA11A8"/>
    <w:rsid w:val="6CB4016E"/>
    <w:rsid w:val="6CB91526"/>
    <w:rsid w:val="6CBD43B9"/>
    <w:rsid w:val="6CBF110C"/>
    <w:rsid w:val="6CC6116A"/>
    <w:rsid w:val="6CE11262"/>
    <w:rsid w:val="6CED1D93"/>
    <w:rsid w:val="6D165EC0"/>
    <w:rsid w:val="6D26484C"/>
    <w:rsid w:val="6D5806F2"/>
    <w:rsid w:val="6D7C43A7"/>
    <w:rsid w:val="6E151E68"/>
    <w:rsid w:val="6E162AE8"/>
    <w:rsid w:val="6E3B22A0"/>
    <w:rsid w:val="6EAB1CDE"/>
    <w:rsid w:val="6F05548E"/>
    <w:rsid w:val="6F192C1F"/>
    <w:rsid w:val="6F207569"/>
    <w:rsid w:val="6F3265FD"/>
    <w:rsid w:val="6F524425"/>
    <w:rsid w:val="6F992EEA"/>
    <w:rsid w:val="702952F9"/>
    <w:rsid w:val="7039132B"/>
    <w:rsid w:val="70514273"/>
    <w:rsid w:val="70570500"/>
    <w:rsid w:val="70981E96"/>
    <w:rsid w:val="70FA60B7"/>
    <w:rsid w:val="71412385"/>
    <w:rsid w:val="714812AF"/>
    <w:rsid w:val="71515D44"/>
    <w:rsid w:val="71561795"/>
    <w:rsid w:val="717770C5"/>
    <w:rsid w:val="719A374C"/>
    <w:rsid w:val="728E7A27"/>
    <w:rsid w:val="72A51B22"/>
    <w:rsid w:val="730A17D6"/>
    <w:rsid w:val="731C7912"/>
    <w:rsid w:val="732B1598"/>
    <w:rsid w:val="73590E44"/>
    <w:rsid w:val="7372537E"/>
    <w:rsid w:val="739F7A9D"/>
    <w:rsid w:val="73DE2426"/>
    <w:rsid w:val="73FA31A2"/>
    <w:rsid w:val="73FB067A"/>
    <w:rsid w:val="74230891"/>
    <w:rsid w:val="74850593"/>
    <w:rsid w:val="748D527D"/>
    <w:rsid w:val="7495596A"/>
    <w:rsid w:val="749907F2"/>
    <w:rsid w:val="74A637D5"/>
    <w:rsid w:val="74AC05F1"/>
    <w:rsid w:val="74D415F9"/>
    <w:rsid w:val="74E848FC"/>
    <w:rsid w:val="74F3107B"/>
    <w:rsid w:val="74F346EE"/>
    <w:rsid w:val="75536AF1"/>
    <w:rsid w:val="75990040"/>
    <w:rsid w:val="75A04899"/>
    <w:rsid w:val="75E72D67"/>
    <w:rsid w:val="76177025"/>
    <w:rsid w:val="76342A7D"/>
    <w:rsid w:val="767300F2"/>
    <w:rsid w:val="76994DC8"/>
    <w:rsid w:val="76A77C52"/>
    <w:rsid w:val="76C915BF"/>
    <w:rsid w:val="76D30CBB"/>
    <w:rsid w:val="76EA1C73"/>
    <w:rsid w:val="76F006D4"/>
    <w:rsid w:val="76F55398"/>
    <w:rsid w:val="7735321B"/>
    <w:rsid w:val="773565BA"/>
    <w:rsid w:val="77773499"/>
    <w:rsid w:val="77793206"/>
    <w:rsid w:val="77894DC7"/>
    <w:rsid w:val="77B77958"/>
    <w:rsid w:val="77E038B8"/>
    <w:rsid w:val="77E238BA"/>
    <w:rsid w:val="77E30C88"/>
    <w:rsid w:val="77F75C33"/>
    <w:rsid w:val="780615C2"/>
    <w:rsid w:val="784B0DE7"/>
    <w:rsid w:val="787B2A48"/>
    <w:rsid w:val="78827362"/>
    <w:rsid w:val="78B703D2"/>
    <w:rsid w:val="78BB2C2F"/>
    <w:rsid w:val="78C13CD3"/>
    <w:rsid w:val="78EB4F4F"/>
    <w:rsid w:val="793B7B95"/>
    <w:rsid w:val="793E5EF7"/>
    <w:rsid w:val="795A679C"/>
    <w:rsid w:val="79753EB4"/>
    <w:rsid w:val="79757554"/>
    <w:rsid w:val="79A430CF"/>
    <w:rsid w:val="79B315B7"/>
    <w:rsid w:val="79F3393D"/>
    <w:rsid w:val="7A141F4A"/>
    <w:rsid w:val="7A1A5D7A"/>
    <w:rsid w:val="7A2617A6"/>
    <w:rsid w:val="7A607152"/>
    <w:rsid w:val="7A776862"/>
    <w:rsid w:val="7AC20049"/>
    <w:rsid w:val="7AE24D5A"/>
    <w:rsid w:val="7B0676AD"/>
    <w:rsid w:val="7B334450"/>
    <w:rsid w:val="7B684C95"/>
    <w:rsid w:val="7B736D54"/>
    <w:rsid w:val="7B930C5D"/>
    <w:rsid w:val="7BC24358"/>
    <w:rsid w:val="7BEC731A"/>
    <w:rsid w:val="7C244F93"/>
    <w:rsid w:val="7C282A29"/>
    <w:rsid w:val="7C344E3A"/>
    <w:rsid w:val="7C411B17"/>
    <w:rsid w:val="7C677E50"/>
    <w:rsid w:val="7CA47E22"/>
    <w:rsid w:val="7CB61FAA"/>
    <w:rsid w:val="7D015AE8"/>
    <w:rsid w:val="7D1307CA"/>
    <w:rsid w:val="7D407149"/>
    <w:rsid w:val="7D5E73B7"/>
    <w:rsid w:val="7D617E04"/>
    <w:rsid w:val="7DBF0F89"/>
    <w:rsid w:val="7DDB3B08"/>
    <w:rsid w:val="7DEE1F22"/>
    <w:rsid w:val="7E0F064E"/>
    <w:rsid w:val="7E2F2716"/>
    <w:rsid w:val="7E4316AC"/>
    <w:rsid w:val="7E4E5A72"/>
    <w:rsid w:val="7E505EF7"/>
    <w:rsid w:val="7EE946C1"/>
    <w:rsid w:val="7F2462FA"/>
    <w:rsid w:val="7F551CE8"/>
    <w:rsid w:val="7F566469"/>
    <w:rsid w:val="7F5B7A4F"/>
    <w:rsid w:val="7F7A5BA1"/>
    <w:rsid w:val="7FA74BD8"/>
    <w:rsid w:val="7FE75287"/>
    <w:rsid w:val="7FEC33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宋体" w:cs="Times New Roman"/>
      <w:kern w:val="2"/>
      <w:sz w:val="28"/>
      <w:szCs w:val="21"/>
      <w:lang w:val="en-US" w:eastAsia="zh-CN" w:bidi="ar-SA"/>
    </w:rPr>
  </w:style>
  <w:style w:type="paragraph" w:styleId="2">
    <w:name w:val="heading 1"/>
    <w:basedOn w:val="1"/>
    <w:next w:val="1"/>
    <w:link w:val="41"/>
    <w:qFormat/>
    <w:uiPriority w:val="99"/>
    <w:pPr>
      <w:keepNext/>
      <w:keepLines/>
      <w:spacing w:before="340" w:after="330" w:line="578" w:lineRule="atLeast"/>
      <w:outlineLvl w:val="0"/>
    </w:pPr>
    <w:rPr>
      <w:b/>
      <w:bCs/>
      <w:kern w:val="44"/>
      <w:sz w:val="44"/>
      <w:szCs w:val="44"/>
    </w:rPr>
  </w:style>
  <w:style w:type="paragraph" w:styleId="3">
    <w:name w:val="heading 2"/>
    <w:basedOn w:val="1"/>
    <w:next w:val="1"/>
    <w:link w:val="27"/>
    <w:qFormat/>
    <w:uiPriority w:val="99"/>
    <w:pPr>
      <w:keepNext/>
      <w:keepLines/>
      <w:spacing w:before="260" w:after="260" w:line="416" w:lineRule="atLeast"/>
      <w:outlineLvl w:val="1"/>
    </w:pPr>
    <w:rPr>
      <w:rFonts w:ascii="Calibri Light" w:hAnsi="Calibri Light"/>
      <w:b/>
      <w:bCs/>
      <w:szCs w:val="32"/>
    </w:rPr>
  </w:style>
  <w:style w:type="paragraph" w:styleId="4">
    <w:name w:val="heading 3"/>
    <w:basedOn w:val="1"/>
    <w:next w:val="1"/>
    <w:link w:val="42"/>
    <w:qFormat/>
    <w:uiPriority w:val="99"/>
    <w:pPr>
      <w:keepNext/>
      <w:keepLines/>
      <w:spacing w:before="120" w:after="120"/>
      <w:outlineLvl w:val="2"/>
    </w:pPr>
    <w:rPr>
      <w:b/>
      <w:color w:val="000000"/>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qFormat/>
    <w:uiPriority w:val="39"/>
    <w:pPr>
      <w:spacing w:line="240" w:lineRule="auto"/>
      <w:ind w:left="2520" w:leftChars="1200" w:firstLine="0" w:firstLineChars="0"/>
    </w:pPr>
    <w:rPr>
      <w:szCs w:val="22"/>
    </w:rPr>
  </w:style>
  <w:style w:type="paragraph" w:styleId="6">
    <w:name w:val="Document Map"/>
    <w:basedOn w:val="1"/>
    <w:link w:val="47"/>
    <w:qFormat/>
    <w:uiPriority w:val="99"/>
    <w:rPr>
      <w:sz w:val="18"/>
      <w:szCs w:val="18"/>
    </w:rPr>
  </w:style>
  <w:style w:type="paragraph" w:styleId="7">
    <w:name w:val="annotation text"/>
    <w:basedOn w:val="1"/>
    <w:link w:val="43"/>
    <w:qFormat/>
    <w:uiPriority w:val="99"/>
    <w:pPr>
      <w:jc w:val="left"/>
    </w:pPr>
  </w:style>
  <w:style w:type="paragraph" w:styleId="8">
    <w:name w:val="Body Text"/>
    <w:basedOn w:val="1"/>
    <w:link w:val="45"/>
    <w:qFormat/>
    <w:uiPriority w:val="99"/>
    <w:rPr>
      <w:sz w:val="21"/>
    </w:rPr>
  </w:style>
  <w:style w:type="paragraph" w:styleId="9">
    <w:name w:val="toc 5"/>
    <w:basedOn w:val="1"/>
    <w:next w:val="1"/>
    <w:qFormat/>
    <w:uiPriority w:val="39"/>
    <w:pPr>
      <w:spacing w:line="240" w:lineRule="auto"/>
      <w:ind w:left="1680" w:leftChars="800" w:firstLine="0" w:firstLineChars="0"/>
    </w:pPr>
    <w:rPr>
      <w:szCs w:val="22"/>
    </w:rPr>
  </w:style>
  <w:style w:type="paragraph" w:styleId="10">
    <w:name w:val="toc 3"/>
    <w:basedOn w:val="1"/>
    <w:next w:val="1"/>
    <w:qFormat/>
    <w:uiPriority w:val="39"/>
    <w:pPr>
      <w:widowControl/>
      <w:spacing w:line="360" w:lineRule="auto"/>
      <w:ind w:firstLine="400" w:firstLineChars="400"/>
      <w:jc w:val="left"/>
    </w:pPr>
    <w:rPr>
      <w:rFonts w:ascii="宋体" w:eastAsia="Times New Roman"/>
      <w:kern w:val="0"/>
      <w:sz w:val="24"/>
    </w:rPr>
  </w:style>
  <w:style w:type="paragraph" w:styleId="11">
    <w:name w:val="toc 8"/>
    <w:basedOn w:val="1"/>
    <w:next w:val="1"/>
    <w:qFormat/>
    <w:uiPriority w:val="39"/>
    <w:pPr>
      <w:spacing w:line="240" w:lineRule="auto"/>
      <w:ind w:left="2940" w:leftChars="1400" w:firstLine="0" w:firstLineChars="0"/>
    </w:pPr>
    <w:rPr>
      <w:szCs w:val="22"/>
    </w:rPr>
  </w:style>
  <w:style w:type="paragraph" w:styleId="12">
    <w:name w:val="Balloon Text"/>
    <w:basedOn w:val="1"/>
    <w:link w:val="48"/>
    <w:qFormat/>
    <w:uiPriority w:val="99"/>
    <w:pPr>
      <w:spacing w:line="240" w:lineRule="auto"/>
    </w:pPr>
    <w:rPr>
      <w:sz w:val="18"/>
      <w:szCs w:val="18"/>
    </w:rPr>
  </w:style>
  <w:style w:type="paragraph" w:styleId="13">
    <w:name w:val="footer"/>
    <w:basedOn w:val="1"/>
    <w:link w:val="49"/>
    <w:qFormat/>
    <w:uiPriority w:val="99"/>
    <w:pPr>
      <w:tabs>
        <w:tab w:val="center" w:pos="4153"/>
        <w:tab w:val="right" w:pos="8306"/>
      </w:tabs>
      <w:snapToGrid w:val="0"/>
      <w:spacing w:line="240" w:lineRule="auto"/>
      <w:ind w:firstLine="0" w:firstLineChars="0"/>
      <w:jc w:val="left"/>
    </w:pPr>
    <w:rPr>
      <w:sz w:val="18"/>
      <w:szCs w:val="18"/>
    </w:rPr>
  </w:style>
  <w:style w:type="paragraph" w:styleId="14">
    <w:name w:val="header"/>
    <w:basedOn w:val="1"/>
    <w:link w:val="50"/>
    <w:qFormat/>
    <w:uiPriority w:val="99"/>
    <w:pPr>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15">
    <w:name w:val="toc 1"/>
    <w:basedOn w:val="1"/>
    <w:next w:val="1"/>
    <w:link w:val="59"/>
    <w:qFormat/>
    <w:uiPriority w:val="39"/>
    <w:pPr>
      <w:widowControl/>
      <w:tabs>
        <w:tab w:val="right" w:leader="dot" w:pos="8302"/>
      </w:tabs>
      <w:spacing w:line="360" w:lineRule="auto"/>
      <w:ind w:firstLine="0" w:firstLineChars="0"/>
      <w:jc w:val="left"/>
    </w:pPr>
    <w:rPr>
      <w:rFonts w:ascii="宋体" w:eastAsia="Times New Roman"/>
      <w:kern w:val="0"/>
      <w:sz w:val="24"/>
    </w:rPr>
  </w:style>
  <w:style w:type="paragraph" w:styleId="16">
    <w:name w:val="toc 4"/>
    <w:basedOn w:val="1"/>
    <w:next w:val="1"/>
    <w:qFormat/>
    <w:uiPriority w:val="39"/>
    <w:pPr>
      <w:spacing w:line="360" w:lineRule="auto"/>
      <w:ind w:left="1260" w:leftChars="600" w:firstLine="0" w:firstLineChars="0"/>
    </w:pPr>
    <w:rPr>
      <w:sz w:val="24"/>
      <w:szCs w:val="22"/>
    </w:rPr>
  </w:style>
  <w:style w:type="paragraph" w:styleId="17">
    <w:name w:val="toc 6"/>
    <w:basedOn w:val="1"/>
    <w:next w:val="1"/>
    <w:qFormat/>
    <w:uiPriority w:val="39"/>
    <w:pPr>
      <w:spacing w:line="240" w:lineRule="auto"/>
      <w:ind w:left="2100" w:leftChars="1000" w:firstLine="0" w:firstLineChars="0"/>
    </w:pPr>
    <w:rPr>
      <w:szCs w:val="22"/>
    </w:rPr>
  </w:style>
  <w:style w:type="paragraph" w:styleId="18">
    <w:name w:val="toc 2"/>
    <w:basedOn w:val="1"/>
    <w:next w:val="1"/>
    <w:qFormat/>
    <w:uiPriority w:val="39"/>
    <w:pPr>
      <w:widowControl/>
      <w:tabs>
        <w:tab w:val="right" w:leader="dot" w:pos="8302"/>
      </w:tabs>
      <w:spacing w:line="360" w:lineRule="auto"/>
      <w:ind w:firstLine="420"/>
      <w:jc w:val="left"/>
    </w:pPr>
    <w:rPr>
      <w:rFonts w:ascii="宋体" w:eastAsia="Times New Roman"/>
      <w:kern w:val="0"/>
      <w:sz w:val="24"/>
    </w:rPr>
  </w:style>
  <w:style w:type="paragraph" w:styleId="19">
    <w:name w:val="toc 9"/>
    <w:basedOn w:val="1"/>
    <w:next w:val="1"/>
    <w:qFormat/>
    <w:uiPriority w:val="39"/>
    <w:pPr>
      <w:spacing w:line="240" w:lineRule="auto"/>
      <w:ind w:left="3360" w:leftChars="1600" w:firstLine="0" w:firstLineChars="0"/>
    </w:pPr>
    <w:rPr>
      <w:szCs w:val="22"/>
    </w:rPr>
  </w:style>
  <w:style w:type="paragraph" w:styleId="20">
    <w:name w:val="annotation subject"/>
    <w:basedOn w:val="7"/>
    <w:next w:val="7"/>
    <w:link w:val="44"/>
    <w:qFormat/>
    <w:uiPriority w:val="99"/>
    <w:rPr>
      <w:b/>
      <w:bCs/>
    </w:rPr>
  </w:style>
  <w:style w:type="paragraph" w:styleId="21">
    <w:name w:val="Body Text First Indent"/>
    <w:basedOn w:val="8"/>
    <w:link w:val="46"/>
    <w:qFormat/>
    <w:uiPriority w:val="99"/>
    <w:pPr>
      <w:ind w:firstLine="420" w:firstLineChars="100"/>
    </w:p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Hyperlink"/>
    <w:basedOn w:val="24"/>
    <w:qFormat/>
    <w:uiPriority w:val="99"/>
    <w:rPr>
      <w:rFonts w:cs="Times New Roman"/>
      <w:color w:val="0563C1"/>
      <w:u w:val="single"/>
    </w:rPr>
  </w:style>
  <w:style w:type="character" w:styleId="26">
    <w:name w:val="annotation reference"/>
    <w:basedOn w:val="24"/>
    <w:qFormat/>
    <w:uiPriority w:val="99"/>
    <w:rPr>
      <w:rFonts w:cs="Times New Roman"/>
      <w:sz w:val="21"/>
      <w:szCs w:val="21"/>
    </w:rPr>
  </w:style>
  <w:style w:type="character" w:customStyle="1" w:styleId="27">
    <w:name w:val="标题 2 Char"/>
    <w:basedOn w:val="24"/>
    <w:link w:val="3"/>
    <w:semiHidden/>
    <w:qFormat/>
    <w:locked/>
    <w:uiPriority w:val="99"/>
    <w:rPr>
      <w:rFonts w:ascii="Calibri Light" w:hAnsi="Calibri Light" w:eastAsia="Times New Roman" w:cs="Times New Roman"/>
      <w:b/>
      <w:bCs/>
      <w:sz w:val="32"/>
      <w:szCs w:val="32"/>
    </w:rPr>
  </w:style>
  <w:style w:type="paragraph" w:customStyle="1" w:styleId="28">
    <w:name w:val="02标题2"/>
    <w:next w:val="29"/>
    <w:link w:val="30"/>
    <w:qFormat/>
    <w:uiPriority w:val="99"/>
    <w:pPr>
      <w:spacing w:before="240" w:after="240" w:line="560" w:lineRule="exact"/>
      <w:ind w:firstLine="200" w:firstLineChars="200"/>
      <w:outlineLvl w:val="1"/>
    </w:pPr>
    <w:rPr>
      <w:rFonts w:ascii="宋体" w:hAnsi="宋体" w:eastAsia="宋体" w:cs="Times New Roman"/>
      <w:b/>
      <w:kern w:val="44"/>
      <w:sz w:val="24"/>
      <w:szCs w:val="21"/>
      <w:lang w:val="en-US" w:eastAsia="zh-CN" w:bidi="ar-SA"/>
    </w:rPr>
  </w:style>
  <w:style w:type="paragraph" w:customStyle="1" w:styleId="29">
    <w:name w:val="05正文"/>
    <w:basedOn w:val="1"/>
    <w:link w:val="55"/>
    <w:qFormat/>
    <w:uiPriority w:val="0"/>
    <w:pPr>
      <w:ind w:firstLine="200"/>
    </w:pPr>
    <w:rPr>
      <w:rFonts w:ascii="宋体" w:eastAsia="Times New Roman"/>
      <w:sz w:val="24"/>
    </w:rPr>
  </w:style>
  <w:style w:type="character" w:customStyle="1" w:styleId="30">
    <w:name w:val="02标题2 Char"/>
    <w:basedOn w:val="31"/>
    <w:link w:val="28"/>
    <w:qFormat/>
    <w:locked/>
    <w:uiPriority w:val="99"/>
    <w:rPr>
      <w:rFonts w:cs="Times New Roman"/>
      <w:sz w:val="21"/>
      <w:szCs w:val="21"/>
    </w:rPr>
  </w:style>
  <w:style w:type="character" w:customStyle="1" w:styleId="31">
    <w:name w:val="01标题1 Char"/>
    <w:basedOn w:val="32"/>
    <w:link w:val="40"/>
    <w:qFormat/>
    <w:locked/>
    <w:uiPriority w:val="99"/>
    <w:rPr>
      <w:rFonts w:cs="宋体"/>
      <w:bCs/>
      <w:color w:val="FF0000"/>
      <w:kern w:val="44"/>
      <w:sz w:val="44"/>
      <w:szCs w:val="44"/>
    </w:rPr>
  </w:style>
  <w:style w:type="character" w:customStyle="1" w:styleId="32">
    <w:name w:val="封面落款 Char"/>
    <w:basedOn w:val="33"/>
    <w:link w:val="39"/>
    <w:qFormat/>
    <w:locked/>
    <w:uiPriority w:val="99"/>
    <w:rPr>
      <w:rFonts w:ascii="宋体" w:hAnsi="宋体"/>
    </w:rPr>
  </w:style>
  <w:style w:type="character" w:customStyle="1" w:styleId="33">
    <w:name w:val="封面标题2 Char"/>
    <w:basedOn w:val="34"/>
    <w:link w:val="38"/>
    <w:qFormat/>
    <w:locked/>
    <w:uiPriority w:val="99"/>
    <w:rPr>
      <w:rFonts w:eastAsia="方正小标宋简体"/>
      <w:color w:val="0000FF"/>
    </w:rPr>
  </w:style>
  <w:style w:type="character" w:customStyle="1" w:styleId="34">
    <w:name w:val="封面标题1 Char"/>
    <w:basedOn w:val="35"/>
    <w:link w:val="37"/>
    <w:qFormat/>
    <w:locked/>
    <w:uiPriority w:val="99"/>
  </w:style>
  <w:style w:type="character" w:customStyle="1" w:styleId="35">
    <w:name w:val="封面排头 Char"/>
    <w:basedOn w:val="24"/>
    <w:link w:val="36"/>
    <w:qFormat/>
    <w:locked/>
    <w:uiPriority w:val="99"/>
    <w:rPr>
      <w:rFonts w:ascii="Calibri" w:hAnsi="Calibri" w:eastAsia="黑体" w:cs="Times New Roman"/>
      <w:b/>
      <w:kern w:val="2"/>
      <w:sz w:val="21"/>
      <w:szCs w:val="21"/>
      <w:lang w:val="en-US" w:eastAsia="zh-CN" w:bidi="ar-SA"/>
    </w:rPr>
  </w:style>
  <w:style w:type="paragraph" w:customStyle="1" w:styleId="36">
    <w:name w:val="封面排头"/>
    <w:link w:val="35"/>
    <w:qFormat/>
    <w:uiPriority w:val="99"/>
    <w:pPr>
      <w:spacing w:line="560" w:lineRule="exact"/>
    </w:pPr>
    <w:rPr>
      <w:rFonts w:ascii="Calibri" w:hAnsi="Calibri" w:eastAsia="黑体" w:cs="Times New Roman"/>
      <w:b/>
      <w:kern w:val="2"/>
      <w:sz w:val="32"/>
      <w:szCs w:val="21"/>
      <w:lang w:val="en-US" w:eastAsia="zh-CN" w:bidi="ar-SA"/>
    </w:rPr>
  </w:style>
  <w:style w:type="paragraph" w:customStyle="1" w:styleId="37">
    <w:name w:val="封面标题1"/>
    <w:link w:val="34"/>
    <w:qFormat/>
    <w:uiPriority w:val="99"/>
    <w:pPr>
      <w:spacing w:line="640" w:lineRule="exact"/>
      <w:jc w:val="center"/>
    </w:pPr>
    <w:rPr>
      <w:rFonts w:ascii="Calibri" w:hAnsi="Calibri" w:eastAsia="宋体" w:cs="Times New Roman"/>
      <w:b/>
      <w:kern w:val="2"/>
      <w:sz w:val="36"/>
      <w:szCs w:val="21"/>
      <w:lang w:val="en-US" w:eastAsia="zh-CN" w:bidi="ar-SA"/>
    </w:rPr>
  </w:style>
  <w:style w:type="paragraph" w:customStyle="1" w:styleId="38">
    <w:name w:val="封面标题2"/>
    <w:link w:val="33"/>
    <w:qFormat/>
    <w:uiPriority w:val="99"/>
    <w:pPr>
      <w:jc w:val="center"/>
    </w:pPr>
    <w:rPr>
      <w:rFonts w:ascii="Calibri" w:hAnsi="Calibri" w:eastAsia="方正小标宋简体" w:cs="Times New Roman"/>
      <w:b/>
      <w:color w:val="0000FF"/>
      <w:kern w:val="2"/>
      <w:sz w:val="52"/>
      <w:szCs w:val="21"/>
      <w:lang w:val="en-US" w:eastAsia="zh-CN" w:bidi="ar-SA"/>
    </w:rPr>
  </w:style>
  <w:style w:type="paragraph" w:customStyle="1" w:styleId="39">
    <w:name w:val="封面落款"/>
    <w:link w:val="32"/>
    <w:qFormat/>
    <w:uiPriority w:val="99"/>
    <w:pPr>
      <w:spacing w:line="560" w:lineRule="exact"/>
      <w:ind w:firstLine="200" w:firstLineChars="200"/>
    </w:pPr>
    <w:rPr>
      <w:rFonts w:ascii="宋体" w:hAnsi="宋体" w:eastAsia="宋体" w:cs="Times New Roman"/>
      <w:b/>
      <w:kern w:val="2"/>
      <w:sz w:val="32"/>
      <w:szCs w:val="21"/>
      <w:lang w:val="en-US" w:eastAsia="zh-CN" w:bidi="ar-SA"/>
    </w:rPr>
  </w:style>
  <w:style w:type="paragraph" w:customStyle="1" w:styleId="40">
    <w:name w:val="01标题1"/>
    <w:next w:val="29"/>
    <w:link w:val="31"/>
    <w:qFormat/>
    <w:uiPriority w:val="99"/>
    <w:pPr>
      <w:spacing w:before="340" w:after="330" w:line="560" w:lineRule="atLeast"/>
      <w:ind w:firstLine="200" w:firstLineChars="200"/>
      <w:outlineLvl w:val="0"/>
    </w:pPr>
    <w:rPr>
      <w:rFonts w:ascii="宋体" w:hAnsi="宋体" w:eastAsia="宋体" w:cs="宋体"/>
      <w:b/>
      <w:bCs/>
      <w:color w:val="FF0000"/>
      <w:kern w:val="44"/>
      <w:sz w:val="24"/>
      <w:szCs w:val="44"/>
      <w:lang w:val="en-US" w:eastAsia="zh-CN" w:bidi="ar-SA"/>
    </w:rPr>
  </w:style>
  <w:style w:type="character" w:customStyle="1" w:styleId="41">
    <w:name w:val="标题 1 Char"/>
    <w:basedOn w:val="24"/>
    <w:link w:val="2"/>
    <w:qFormat/>
    <w:locked/>
    <w:uiPriority w:val="99"/>
    <w:rPr>
      <w:rFonts w:ascii="宋体" w:hAnsi="宋体" w:eastAsia="宋体" w:cs="宋体"/>
      <w:b/>
      <w:bCs/>
      <w:kern w:val="44"/>
      <w:sz w:val="44"/>
      <w:szCs w:val="44"/>
    </w:rPr>
  </w:style>
  <w:style w:type="character" w:customStyle="1" w:styleId="42">
    <w:name w:val="标题 3 Char"/>
    <w:basedOn w:val="24"/>
    <w:link w:val="4"/>
    <w:semiHidden/>
    <w:qFormat/>
    <w:uiPriority w:val="9"/>
    <w:rPr>
      <w:rFonts w:ascii="Calibri" w:hAnsi="Calibri"/>
      <w:b/>
      <w:bCs/>
      <w:sz w:val="32"/>
      <w:szCs w:val="32"/>
    </w:rPr>
  </w:style>
  <w:style w:type="character" w:customStyle="1" w:styleId="43">
    <w:name w:val="批注文字 Char"/>
    <w:basedOn w:val="24"/>
    <w:link w:val="7"/>
    <w:semiHidden/>
    <w:qFormat/>
    <w:locked/>
    <w:uiPriority w:val="99"/>
    <w:rPr>
      <w:rFonts w:cs="Times New Roman"/>
    </w:rPr>
  </w:style>
  <w:style w:type="character" w:customStyle="1" w:styleId="44">
    <w:name w:val="批注主题 Char"/>
    <w:basedOn w:val="43"/>
    <w:link w:val="20"/>
    <w:semiHidden/>
    <w:qFormat/>
    <w:locked/>
    <w:uiPriority w:val="99"/>
    <w:rPr>
      <w:b/>
      <w:bCs/>
    </w:rPr>
  </w:style>
  <w:style w:type="character" w:customStyle="1" w:styleId="45">
    <w:name w:val="正文文本 Char"/>
    <w:basedOn w:val="24"/>
    <w:link w:val="8"/>
    <w:semiHidden/>
    <w:qFormat/>
    <w:uiPriority w:val="99"/>
    <w:rPr>
      <w:rFonts w:ascii="Calibri" w:hAnsi="Calibri"/>
      <w:sz w:val="28"/>
      <w:szCs w:val="21"/>
    </w:rPr>
  </w:style>
  <w:style w:type="character" w:customStyle="1" w:styleId="46">
    <w:name w:val="正文首行缩进 Char"/>
    <w:basedOn w:val="45"/>
    <w:link w:val="21"/>
    <w:semiHidden/>
    <w:qFormat/>
    <w:uiPriority w:val="99"/>
  </w:style>
  <w:style w:type="character" w:customStyle="1" w:styleId="47">
    <w:name w:val="文档结构图 Char"/>
    <w:basedOn w:val="24"/>
    <w:link w:val="6"/>
    <w:qFormat/>
    <w:locked/>
    <w:uiPriority w:val="99"/>
    <w:rPr>
      <w:rFonts w:ascii="宋体" w:hAnsi="宋体" w:eastAsia="宋体" w:cs="宋体"/>
      <w:sz w:val="18"/>
      <w:szCs w:val="18"/>
    </w:rPr>
  </w:style>
  <w:style w:type="character" w:customStyle="1" w:styleId="48">
    <w:name w:val="批注框文本 Char"/>
    <w:basedOn w:val="24"/>
    <w:link w:val="12"/>
    <w:semiHidden/>
    <w:qFormat/>
    <w:locked/>
    <w:uiPriority w:val="99"/>
    <w:rPr>
      <w:rFonts w:cs="Times New Roman"/>
      <w:sz w:val="18"/>
      <w:szCs w:val="18"/>
    </w:rPr>
  </w:style>
  <w:style w:type="character" w:customStyle="1" w:styleId="49">
    <w:name w:val="页脚 Char"/>
    <w:basedOn w:val="24"/>
    <w:link w:val="13"/>
    <w:qFormat/>
    <w:locked/>
    <w:uiPriority w:val="99"/>
    <w:rPr>
      <w:rFonts w:cs="Times New Roman"/>
      <w:sz w:val="18"/>
      <w:szCs w:val="18"/>
    </w:rPr>
  </w:style>
  <w:style w:type="character" w:customStyle="1" w:styleId="50">
    <w:name w:val="页眉 Char"/>
    <w:basedOn w:val="24"/>
    <w:link w:val="14"/>
    <w:qFormat/>
    <w:locked/>
    <w:uiPriority w:val="99"/>
    <w:rPr>
      <w:rFonts w:cs="Times New Roman"/>
      <w:sz w:val="18"/>
      <w:szCs w:val="18"/>
    </w:rPr>
  </w:style>
  <w:style w:type="paragraph" w:customStyle="1" w:styleId="51">
    <w:name w:val="03标题3"/>
    <w:next w:val="29"/>
    <w:link w:val="53"/>
    <w:qFormat/>
    <w:uiPriority w:val="99"/>
    <w:pPr>
      <w:spacing w:before="120" w:after="120" w:line="560" w:lineRule="exact"/>
      <w:ind w:firstLine="200" w:firstLineChars="200"/>
      <w:outlineLvl w:val="2"/>
    </w:pPr>
    <w:rPr>
      <w:rFonts w:ascii="宋体" w:hAnsi="宋体" w:eastAsia="宋体" w:cs="Times New Roman"/>
      <w:b/>
      <w:color w:val="0000FF"/>
      <w:kern w:val="44"/>
      <w:sz w:val="24"/>
      <w:szCs w:val="21"/>
      <w:lang w:val="en-US" w:eastAsia="zh-CN" w:bidi="ar-SA"/>
    </w:rPr>
  </w:style>
  <w:style w:type="paragraph" w:customStyle="1" w:styleId="52">
    <w:name w:val="04标题4"/>
    <w:basedOn w:val="51"/>
    <w:next w:val="29"/>
    <w:link w:val="54"/>
    <w:qFormat/>
    <w:uiPriority w:val="99"/>
    <w:pPr>
      <w:spacing w:before="80" w:after="80"/>
      <w:outlineLvl w:val="3"/>
    </w:pPr>
    <w:rPr>
      <w:color w:val="A50021"/>
    </w:rPr>
  </w:style>
  <w:style w:type="character" w:customStyle="1" w:styleId="53">
    <w:name w:val="03标题3 Char"/>
    <w:basedOn w:val="30"/>
    <w:link w:val="51"/>
    <w:qFormat/>
    <w:locked/>
    <w:uiPriority w:val="99"/>
    <w:rPr>
      <w:color w:val="0000FF"/>
    </w:rPr>
  </w:style>
  <w:style w:type="character" w:customStyle="1" w:styleId="54">
    <w:name w:val="04标题4 Char"/>
    <w:basedOn w:val="53"/>
    <w:link w:val="52"/>
    <w:qFormat/>
    <w:locked/>
    <w:uiPriority w:val="99"/>
    <w:rPr>
      <w:rFonts w:eastAsia="宋体" w:cs="宋体"/>
      <w:color w:val="A50021"/>
      <w:sz w:val="44"/>
      <w:szCs w:val="44"/>
    </w:rPr>
  </w:style>
  <w:style w:type="character" w:customStyle="1" w:styleId="55">
    <w:name w:val="05正文 Char"/>
    <w:basedOn w:val="24"/>
    <w:link w:val="29"/>
    <w:qFormat/>
    <w:locked/>
    <w:uiPriority w:val="0"/>
    <w:rPr>
      <w:rFonts w:ascii="宋体" w:cs="Times New Roman"/>
      <w:sz w:val="24"/>
    </w:rPr>
  </w:style>
  <w:style w:type="paragraph" w:customStyle="1" w:styleId="56">
    <w:name w:val="TOC 标题1"/>
    <w:basedOn w:val="2"/>
    <w:next w:val="1"/>
    <w:qFormat/>
    <w:uiPriority w:val="99"/>
    <w:pPr>
      <w:widowControl/>
      <w:spacing w:before="240" w:after="0" w:line="259" w:lineRule="auto"/>
      <w:ind w:firstLine="0" w:firstLineChars="0"/>
      <w:jc w:val="left"/>
      <w:outlineLvl w:val="9"/>
    </w:pPr>
    <w:rPr>
      <w:rFonts w:ascii="Calibri Light" w:hAnsi="Calibri Light"/>
      <w:b w:val="0"/>
      <w:bCs w:val="0"/>
      <w:color w:val="2E74B5"/>
      <w:kern w:val="0"/>
      <w:sz w:val="32"/>
      <w:szCs w:val="32"/>
    </w:rPr>
  </w:style>
  <w:style w:type="paragraph" w:customStyle="1" w:styleId="57">
    <w:name w:val="07目录"/>
    <w:link w:val="60"/>
    <w:qFormat/>
    <w:uiPriority w:val="99"/>
    <w:pPr>
      <w:tabs>
        <w:tab w:val="right" w:leader="dot" w:pos="8302"/>
      </w:tabs>
      <w:spacing w:line="560" w:lineRule="exact"/>
      <w:jc w:val="center"/>
    </w:pPr>
    <w:rPr>
      <w:rFonts w:ascii="Calibri" w:hAnsi="Calibri" w:eastAsia="宋体" w:cs="Times New Roman"/>
      <w:b/>
      <w:sz w:val="36"/>
      <w:szCs w:val="21"/>
      <w:lang w:val="en-US" w:eastAsia="zh-CN" w:bidi="ar-SA"/>
    </w:rPr>
  </w:style>
  <w:style w:type="paragraph" w:customStyle="1" w:styleId="58">
    <w:name w:val="07目录1"/>
    <w:basedOn w:val="57"/>
    <w:link w:val="62"/>
    <w:qFormat/>
    <w:uiPriority w:val="99"/>
    <w:pPr>
      <w:spacing w:line="360" w:lineRule="auto"/>
    </w:pPr>
    <w:rPr>
      <w:rFonts w:ascii="宋体" w:hAnsi="宋体"/>
      <w:b w:val="0"/>
      <w:sz w:val="21"/>
    </w:rPr>
  </w:style>
  <w:style w:type="character" w:customStyle="1" w:styleId="59">
    <w:name w:val="目录 1 Char"/>
    <w:basedOn w:val="24"/>
    <w:link w:val="15"/>
    <w:qFormat/>
    <w:locked/>
    <w:uiPriority w:val="99"/>
    <w:rPr>
      <w:rFonts w:ascii="宋体" w:cs="Times New Roman"/>
      <w:kern w:val="0"/>
      <w:sz w:val="24"/>
    </w:rPr>
  </w:style>
  <w:style w:type="character" w:customStyle="1" w:styleId="60">
    <w:name w:val="07目录 Char"/>
    <w:basedOn w:val="59"/>
    <w:link w:val="57"/>
    <w:qFormat/>
    <w:locked/>
    <w:uiPriority w:val="99"/>
    <w:rPr>
      <w:rFonts w:ascii="Calibri" w:hAnsi="Calibri"/>
      <w:b/>
      <w:sz w:val="21"/>
      <w:szCs w:val="21"/>
      <w:lang w:val="en-US" w:eastAsia="zh-CN" w:bidi="ar-SA"/>
    </w:rPr>
  </w:style>
  <w:style w:type="paragraph" w:customStyle="1" w:styleId="61">
    <w:name w:val="08目录2"/>
    <w:basedOn w:val="58"/>
    <w:link w:val="64"/>
    <w:qFormat/>
    <w:uiPriority w:val="99"/>
    <w:pPr>
      <w:ind w:firstLine="200" w:firstLineChars="200"/>
    </w:pPr>
  </w:style>
  <w:style w:type="character" w:customStyle="1" w:styleId="62">
    <w:name w:val="07目录1 Char"/>
    <w:basedOn w:val="60"/>
    <w:link w:val="58"/>
    <w:qFormat/>
    <w:locked/>
    <w:uiPriority w:val="99"/>
    <w:rPr>
      <w:rFonts w:ascii="宋体" w:hAnsi="宋体" w:eastAsia="宋体"/>
    </w:rPr>
  </w:style>
  <w:style w:type="paragraph" w:customStyle="1" w:styleId="63">
    <w:name w:val="09目录3"/>
    <w:basedOn w:val="61"/>
    <w:link w:val="66"/>
    <w:qFormat/>
    <w:uiPriority w:val="99"/>
    <w:pPr>
      <w:ind w:firstLine="400" w:firstLineChars="400"/>
    </w:pPr>
  </w:style>
  <w:style w:type="character" w:customStyle="1" w:styleId="64">
    <w:name w:val="08目录2 Char"/>
    <w:basedOn w:val="62"/>
    <w:link w:val="61"/>
    <w:qFormat/>
    <w:locked/>
    <w:uiPriority w:val="99"/>
  </w:style>
  <w:style w:type="paragraph" w:customStyle="1" w:styleId="65">
    <w:name w:val="10目录4"/>
    <w:basedOn w:val="63"/>
    <w:link w:val="67"/>
    <w:qFormat/>
    <w:uiPriority w:val="99"/>
    <w:pPr>
      <w:ind w:firstLine="600" w:firstLineChars="600"/>
    </w:pPr>
  </w:style>
  <w:style w:type="character" w:customStyle="1" w:styleId="66">
    <w:name w:val="09目录3 Char"/>
    <w:basedOn w:val="64"/>
    <w:link w:val="63"/>
    <w:qFormat/>
    <w:locked/>
    <w:uiPriority w:val="99"/>
  </w:style>
  <w:style w:type="character" w:customStyle="1" w:styleId="67">
    <w:name w:val="10目录4 Char"/>
    <w:basedOn w:val="66"/>
    <w:link w:val="65"/>
    <w:qFormat/>
    <w:locked/>
    <w:uiPriority w:val="99"/>
  </w:style>
  <w:style w:type="paragraph" w:customStyle="1" w:styleId="68">
    <w:name w:val="06正文标题1"/>
    <w:link w:val="70"/>
    <w:qFormat/>
    <w:uiPriority w:val="99"/>
    <w:pPr>
      <w:spacing w:line="560" w:lineRule="exact"/>
      <w:jc w:val="center"/>
    </w:pPr>
    <w:rPr>
      <w:rFonts w:ascii="宋体" w:hAnsi="宋体" w:eastAsia="宋体" w:cs="宋体"/>
      <w:b/>
      <w:bCs/>
      <w:kern w:val="44"/>
      <w:sz w:val="36"/>
      <w:szCs w:val="44"/>
      <w:lang w:val="en-US" w:eastAsia="zh-CN" w:bidi="ar-SA"/>
    </w:rPr>
  </w:style>
  <w:style w:type="paragraph" w:customStyle="1" w:styleId="69">
    <w:name w:val="08正文标题2"/>
    <w:link w:val="72"/>
    <w:qFormat/>
    <w:uiPriority w:val="99"/>
    <w:pPr>
      <w:spacing w:before="360" w:after="360"/>
      <w:jc w:val="center"/>
    </w:pPr>
    <w:rPr>
      <w:rFonts w:ascii="宋体" w:hAnsi="宋体" w:eastAsia="宋体" w:cs="宋体"/>
      <w:b/>
      <w:bCs/>
      <w:color w:val="0000FF"/>
      <w:kern w:val="44"/>
      <w:sz w:val="48"/>
      <w:szCs w:val="44"/>
      <w:lang w:val="en-US" w:eastAsia="zh-CN" w:bidi="ar-SA"/>
    </w:rPr>
  </w:style>
  <w:style w:type="character" w:customStyle="1" w:styleId="70">
    <w:name w:val="06正文标题1 Char"/>
    <w:basedOn w:val="31"/>
    <w:link w:val="68"/>
    <w:qFormat/>
    <w:locked/>
    <w:uiPriority w:val="99"/>
  </w:style>
  <w:style w:type="paragraph" w:customStyle="1" w:styleId="71">
    <w:name w:val="09红字蓝底"/>
    <w:basedOn w:val="29"/>
    <w:link w:val="74"/>
    <w:qFormat/>
    <w:uiPriority w:val="99"/>
    <w:pPr>
      <w:ind w:firstLine="480"/>
    </w:pPr>
    <w:rPr>
      <w:b/>
      <w:color w:val="FF0000"/>
      <w:u w:val="thick" w:color="0000FF"/>
    </w:rPr>
  </w:style>
  <w:style w:type="character" w:customStyle="1" w:styleId="72">
    <w:name w:val="08正文标题2 Char"/>
    <w:basedOn w:val="70"/>
    <w:link w:val="69"/>
    <w:qFormat/>
    <w:locked/>
    <w:uiPriority w:val="99"/>
    <w:rPr>
      <w:color w:val="0000FF"/>
    </w:rPr>
  </w:style>
  <w:style w:type="paragraph" w:customStyle="1" w:styleId="73">
    <w:name w:val="图"/>
    <w:next w:val="29"/>
    <w:link w:val="76"/>
    <w:qFormat/>
    <w:uiPriority w:val="99"/>
    <w:pPr>
      <w:framePr w:w="6804" w:h="4207" w:wrap="notBeside" w:vAnchor="text" w:hAnchor="text" w:y="1"/>
      <w:ind w:firstLine="480"/>
    </w:pPr>
    <w:rPr>
      <w:rFonts w:ascii="宋体" w:hAnsi="Calibri" w:eastAsia="宋体" w:cs="Times New Roman"/>
      <w:kern w:val="2"/>
      <w:sz w:val="24"/>
      <w:szCs w:val="21"/>
      <w:lang w:val="en-US" w:eastAsia="zh-CN" w:bidi="ar-SA"/>
    </w:rPr>
  </w:style>
  <w:style w:type="character" w:customStyle="1" w:styleId="74">
    <w:name w:val="09红字蓝底 Char"/>
    <w:basedOn w:val="55"/>
    <w:link w:val="71"/>
    <w:qFormat/>
    <w:locked/>
    <w:uiPriority w:val="99"/>
    <w:rPr>
      <w:b/>
      <w:color w:val="FF0000"/>
      <w:u w:val="thick" w:color="0000FF"/>
    </w:rPr>
  </w:style>
  <w:style w:type="paragraph" w:customStyle="1" w:styleId="75">
    <w:name w:val="表"/>
    <w:basedOn w:val="1"/>
    <w:link w:val="84"/>
    <w:qFormat/>
    <w:uiPriority w:val="99"/>
    <w:pPr>
      <w:spacing w:line="240" w:lineRule="auto"/>
      <w:ind w:firstLine="0" w:firstLineChars="0"/>
      <w:jc w:val="center"/>
    </w:pPr>
    <w:rPr>
      <w:sz w:val="20"/>
      <w:szCs w:val="20"/>
    </w:rPr>
  </w:style>
  <w:style w:type="character" w:customStyle="1" w:styleId="76">
    <w:name w:val="图 Char"/>
    <w:basedOn w:val="55"/>
    <w:link w:val="73"/>
    <w:qFormat/>
    <w:locked/>
    <w:uiPriority w:val="99"/>
    <w:rPr>
      <w:rFonts w:hAnsi="Calibri" w:eastAsia="宋体"/>
      <w:kern w:val="2"/>
      <w:sz w:val="21"/>
      <w:szCs w:val="21"/>
      <w:lang w:val="en-US" w:eastAsia="zh-CN" w:bidi="ar-SA"/>
    </w:rPr>
  </w:style>
  <w:style w:type="paragraph" w:customStyle="1" w:styleId="77">
    <w:name w:val="10红字红底"/>
    <w:next w:val="29"/>
    <w:link w:val="79"/>
    <w:qFormat/>
    <w:uiPriority w:val="99"/>
    <w:pPr>
      <w:spacing w:line="560" w:lineRule="exact"/>
      <w:jc w:val="center"/>
    </w:pPr>
    <w:rPr>
      <w:rFonts w:ascii="宋体" w:hAnsi="宋体" w:eastAsia="宋体" w:cs="宋体"/>
      <w:b/>
      <w:bCs/>
      <w:color w:val="FF0000"/>
      <w:kern w:val="2"/>
      <w:sz w:val="24"/>
      <w:szCs w:val="21"/>
      <w:u w:val="single" w:color="FF0000"/>
      <w:lang w:val="en-US" w:eastAsia="zh-CN" w:bidi="ar-SA"/>
    </w:rPr>
  </w:style>
  <w:style w:type="character" w:customStyle="1" w:styleId="78">
    <w:name w:val="1"/>
    <w:qFormat/>
    <w:uiPriority w:val="99"/>
  </w:style>
  <w:style w:type="character" w:customStyle="1" w:styleId="79">
    <w:name w:val="10红字红底 Char"/>
    <w:basedOn w:val="24"/>
    <w:link w:val="77"/>
    <w:qFormat/>
    <w:locked/>
    <w:uiPriority w:val="99"/>
    <w:rPr>
      <w:rFonts w:ascii="宋体" w:eastAsia="宋体" w:cs="宋体"/>
      <w:b/>
      <w:bCs/>
      <w:color w:val="FF0000"/>
      <w:kern w:val="2"/>
      <w:sz w:val="21"/>
      <w:szCs w:val="21"/>
      <w:u w:val="single" w:color="FF0000"/>
      <w:lang w:val="en-US" w:eastAsia="zh-CN" w:bidi="ar-SA"/>
    </w:rPr>
  </w:style>
  <w:style w:type="paragraph" w:customStyle="1" w:styleId="80">
    <w:name w:val="11黑字蓝底"/>
    <w:next w:val="29"/>
    <w:link w:val="81"/>
    <w:qFormat/>
    <w:uiPriority w:val="99"/>
    <w:pPr>
      <w:spacing w:line="560" w:lineRule="exact"/>
    </w:pPr>
    <w:rPr>
      <w:rFonts w:ascii="宋体" w:hAnsi="Calibri" w:eastAsia="宋体" w:cs="Times New Roman"/>
      <w:b/>
      <w:kern w:val="2"/>
      <w:sz w:val="24"/>
      <w:szCs w:val="21"/>
      <w:u w:val="thick" w:color="0000FF"/>
      <w:lang w:val="en-US" w:eastAsia="zh-CN" w:bidi="ar-SA"/>
    </w:rPr>
  </w:style>
  <w:style w:type="character" w:customStyle="1" w:styleId="81">
    <w:name w:val="11黑字蓝底 Char"/>
    <w:basedOn w:val="55"/>
    <w:link w:val="80"/>
    <w:qFormat/>
    <w:locked/>
    <w:uiPriority w:val="99"/>
    <w:rPr>
      <w:rFonts w:hAnsi="Calibri" w:eastAsia="宋体"/>
      <w:b/>
      <w:kern w:val="2"/>
      <w:sz w:val="21"/>
      <w:szCs w:val="21"/>
      <w:u w:val="thick" w:color="0000FF"/>
      <w:lang w:val="en-US" w:eastAsia="zh-CN" w:bidi="ar-SA"/>
    </w:rPr>
  </w:style>
  <w:style w:type="paragraph" w:customStyle="1" w:styleId="82">
    <w:name w:val="14表格名"/>
    <w:basedOn w:val="75"/>
    <w:link w:val="85"/>
    <w:qFormat/>
    <w:uiPriority w:val="99"/>
    <w:pPr>
      <w:spacing w:before="120" w:after="120"/>
    </w:pPr>
    <w:rPr>
      <w:rFonts w:ascii="宋体" w:hAnsi="Times New Roman" w:eastAsia="Times New Roman"/>
      <w:b/>
      <w:sz w:val="24"/>
    </w:rPr>
  </w:style>
  <w:style w:type="paragraph" w:customStyle="1" w:styleId="83">
    <w:name w:val="12蓝字蓝底粗"/>
    <w:basedOn w:val="77"/>
    <w:link w:val="87"/>
    <w:qFormat/>
    <w:uiPriority w:val="99"/>
    <w:rPr>
      <w:color w:val="0000FF"/>
      <w:u w:color="0000FF"/>
    </w:rPr>
  </w:style>
  <w:style w:type="character" w:customStyle="1" w:styleId="84">
    <w:name w:val="表 Char"/>
    <w:basedOn w:val="24"/>
    <w:link w:val="75"/>
    <w:qFormat/>
    <w:locked/>
    <w:uiPriority w:val="99"/>
    <w:rPr>
      <w:rFonts w:cs="Times New Roman"/>
      <w:sz w:val="20"/>
      <w:szCs w:val="20"/>
    </w:rPr>
  </w:style>
  <w:style w:type="character" w:customStyle="1" w:styleId="85">
    <w:name w:val="14表格名 Char"/>
    <w:basedOn w:val="84"/>
    <w:link w:val="82"/>
    <w:qFormat/>
    <w:locked/>
    <w:uiPriority w:val="99"/>
    <w:rPr>
      <w:rFonts w:ascii="宋体" w:hAnsi="Times New Roman"/>
      <w:b/>
    </w:rPr>
  </w:style>
  <w:style w:type="paragraph" w:customStyle="1" w:styleId="86">
    <w:name w:val="13蓝字蓝底细"/>
    <w:basedOn w:val="83"/>
    <w:link w:val="89"/>
    <w:qFormat/>
    <w:uiPriority w:val="99"/>
    <w:rPr>
      <w:b w:val="0"/>
    </w:rPr>
  </w:style>
  <w:style w:type="character" w:customStyle="1" w:styleId="87">
    <w:name w:val="12蓝字蓝底粗 Char"/>
    <w:basedOn w:val="79"/>
    <w:link w:val="83"/>
    <w:qFormat/>
    <w:locked/>
    <w:uiPriority w:val="99"/>
    <w:rPr>
      <w:rFonts w:hAnsi="宋体"/>
      <w:color w:val="0000FF"/>
      <w:u w:color="0000FF"/>
    </w:rPr>
  </w:style>
  <w:style w:type="paragraph" w:customStyle="1" w:styleId="88">
    <w:name w:val="15表格"/>
    <w:basedOn w:val="82"/>
    <w:link w:val="90"/>
    <w:qFormat/>
    <w:uiPriority w:val="99"/>
    <w:pPr>
      <w:spacing w:before="0" w:after="0" w:line="240" w:lineRule="atLeast"/>
    </w:pPr>
    <w:rPr>
      <w:rFonts w:ascii="Times New Roman" w:eastAsia="宋体"/>
      <w:b w:val="0"/>
      <w:sz w:val="18"/>
    </w:rPr>
  </w:style>
  <w:style w:type="character" w:customStyle="1" w:styleId="89">
    <w:name w:val="13蓝字蓝底细 Char"/>
    <w:basedOn w:val="87"/>
    <w:link w:val="86"/>
    <w:qFormat/>
    <w:locked/>
    <w:uiPriority w:val="99"/>
  </w:style>
  <w:style w:type="character" w:customStyle="1" w:styleId="90">
    <w:name w:val="15表格 Char"/>
    <w:basedOn w:val="85"/>
    <w:link w:val="88"/>
    <w:qFormat/>
    <w:locked/>
    <w:uiPriority w:val="99"/>
    <w:rPr>
      <w:rFonts w:ascii="Times New Roman"/>
    </w:rPr>
  </w:style>
  <w:style w:type="paragraph" w:customStyle="1" w:styleId="91">
    <w:name w:val="样式 cucd-0 + (西文) Arial (中文) 仿宋_GB2312"/>
    <w:qFormat/>
    <w:uiPriority w:val="99"/>
    <w:rPr>
      <w:rFonts w:ascii="宋体" w:hAnsi="宋体" w:eastAsia="宋体" w:cs="Times New Roman"/>
      <w:sz w:val="18"/>
      <w:lang w:val="en-US" w:eastAsia="zh-CN" w:bidi="ar-SA"/>
    </w:rPr>
  </w:style>
  <w:style w:type="paragraph" w:customStyle="1" w:styleId="92">
    <w:name w:val="样式 小四 首行缩进:  2 字符 行距: 1.5 倍行距"/>
    <w:basedOn w:val="1"/>
    <w:qFormat/>
    <w:uiPriority w:val="99"/>
    <w:pPr>
      <w:spacing w:line="360" w:lineRule="auto"/>
      <w:ind w:firstLine="480"/>
    </w:pPr>
    <w:rPr>
      <w:szCs w:val="20"/>
    </w:rPr>
  </w:style>
  <w:style w:type="table" w:customStyle="1" w:styleId="93">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B2081-ACFB-4545-BA94-B3B89E47C25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5500</Words>
  <Characters>31352</Characters>
  <Lines>261</Lines>
  <Paragraphs>73</Paragraphs>
  <TotalTime>714</TotalTime>
  <ScaleCrop>false</ScaleCrop>
  <LinksUpToDate>false</LinksUpToDate>
  <CharactersWithSpaces>36779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2016-12-02T01:28:00Z</dcterms:created>
  <dc:creator>黄灿</dc:creator>
  <cp:lastModifiedBy>云南</cp:lastModifiedBy>
  <cp:lastPrinted>2016-12-12T07:04:00Z</cp:lastPrinted>
  <dcterms:modified xsi:type="dcterms:W3CDTF">2022-01-20T03:42:25Z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