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68" w:type="dxa"/>
        <w:tblInd w:w="-459" w:type="dxa"/>
        <w:shd w:val="clear" w:color="auto" w:fill="auto"/>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Layout w:type="fixed"/>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both"/>
              <w:rPr>
                <w:rFonts w:hint="eastAsia" w:ascii="方正小标宋_GBK" w:hAnsi="宋体" w:eastAsia="方正小标宋_GBK" w:cs="宋体"/>
                <w:kern w:val="0"/>
                <w:sz w:val="40"/>
                <w:szCs w:val="40"/>
                <w:lang w:eastAsia="zh-CN"/>
              </w:rPr>
            </w:pPr>
          </w:p>
          <w:p>
            <w:pPr>
              <w:widowControl/>
              <w:spacing w:line="460" w:lineRule="exact"/>
              <w:jc w:val="center"/>
              <w:rPr>
                <w:rFonts w:hint="eastAsia" w:ascii="方正黑体_GBK" w:hAnsi="宋体" w:eastAsia="方正小标宋_GBK" w:cs="宋体"/>
                <w:b/>
                <w:bCs/>
                <w:kern w:val="0"/>
                <w:sz w:val="22"/>
                <w:lang w:eastAsia="zh-CN"/>
              </w:rPr>
            </w:pPr>
            <w:r>
              <w:rPr>
                <w:rFonts w:hint="eastAsia" w:ascii="方正小标宋_GBK" w:hAnsi="宋体" w:eastAsia="方正小标宋_GBK" w:cs="宋体"/>
                <w:kern w:val="0"/>
                <w:sz w:val="40"/>
                <w:szCs w:val="40"/>
                <w:lang w:eastAsia="zh-CN"/>
              </w:rPr>
              <w:t>呈贡区</w:t>
            </w:r>
            <w:r>
              <w:rPr>
                <w:rFonts w:hint="eastAsia" w:ascii="方正小标宋_GBK" w:hAnsi="宋体" w:eastAsia="方正小标宋_GBK" w:cs="宋体"/>
                <w:kern w:val="0"/>
                <w:sz w:val="40"/>
                <w:szCs w:val="40"/>
                <w:lang w:val="en-US" w:eastAsia="zh-CN"/>
              </w:rPr>
              <w:t>市场监管领域</w:t>
            </w:r>
            <w:r>
              <w:rPr>
                <w:rFonts w:hint="eastAsia" w:ascii="方正小标宋_GBK" w:hAnsi="宋体" w:eastAsia="方正小标宋_GBK" w:cs="宋体"/>
                <w:kern w:val="0"/>
                <w:sz w:val="40"/>
                <w:szCs w:val="40"/>
              </w:rPr>
              <w:t>随机抽查事项清单</w:t>
            </w:r>
            <w:r>
              <w:rPr>
                <w:rFonts w:hint="eastAsia" w:ascii="方正小标宋_GBK" w:hAnsi="宋体" w:eastAsia="方正小标宋_GBK" w:cs="宋体"/>
                <w:kern w:val="0"/>
                <w:sz w:val="40"/>
                <w:szCs w:val="40"/>
                <w:lang w:eastAsia="zh-CN"/>
              </w:rPr>
              <w:t>（呈贡区教育体育局）</w:t>
            </w:r>
          </w:p>
        </w:tc>
      </w:tr>
      <w:tr>
        <w:tblPrEx>
          <w:tblLayout w:type="fixed"/>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Layout w:type="fixed"/>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tblLayout w:type="fixed"/>
          <w:tblCellMar>
            <w:top w:w="0" w:type="dxa"/>
            <w:left w:w="108" w:type="dxa"/>
            <w:bottom w:w="0" w:type="dxa"/>
            <w:right w:w="108" w:type="dxa"/>
          </w:tblCellMar>
        </w:tblPrEx>
        <w:trPr>
          <w:trHeight w:val="577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0"/>
              </w:numPr>
              <w:tabs>
                <w:tab w:val="left" w:pos="0"/>
              </w:tabs>
              <w:ind w:leftChars="0"/>
              <w:jc w:val="both"/>
              <w:rPr>
                <w:rFonts w:cs="宋体" w:asciiTheme="minorEastAsia" w:hAnsiTheme="minorEastAsia"/>
                <w:color w:val="000000"/>
                <w:sz w:val="20"/>
                <w:szCs w:val="20"/>
              </w:rPr>
            </w:pPr>
            <w:r>
              <w:rPr>
                <w:rFonts w:hint="eastAsia" w:cs="宋体" w:asciiTheme="minorEastAsia" w:hAnsiTheme="minorEastAsia"/>
                <w:color w:val="000000"/>
                <w:sz w:val="20"/>
                <w:szCs w:val="20"/>
                <w:lang w:val="en-US" w:eastAsia="zh-CN"/>
              </w:rPr>
              <w:t>1</w:t>
            </w: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呈贡区教育体育局</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ascii="宋体" w:hAnsi="宋体" w:eastAsia="宋体" w:cs="宋体"/>
                <w:i w:val="0"/>
                <w:caps w:val="0"/>
                <w:color w:val="38495A"/>
                <w:spacing w:val="0"/>
                <w:sz w:val="20"/>
                <w:szCs w:val="20"/>
                <w:shd w:val="clear" w:fill="FFFFFF"/>
              </w:rPr>
              <w:t>校外培训机构招生、办学情况检查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eastAsia="宋体" w:cs="宋体"/>
                <w:i w:val="0"/>
                <w:caps w:val="0"/>
                <w:color w:val="38495A"/>
                <w:spacing w:val="0"/>
                <w:sz w:val="20"/>
                <w:szCs w:val="20"/>
                <w:shd w:val="clear" w:fill="FFFFFF"/>
                <w:lang w:eastAsia="zh-CN"/>
              </w:rPr>
              <w:t>培训机构</w:t>
            </w:r>
            <w:r>
              <w:rPr>
                <w:rFonts w:ascii="宋体" w:hAnsi="宋体" w:eastAsia="宋体" w:cs="宋体"/>
                <w:i w:val="0"/>
                <w:caps w:val="0"/>
                <w:color w:val="38495A"/>
                <w:spacing w:val="0"/>
                <w:sz w:val="20"/>
                <w:szCs w:val="20"/>
                <w:shd w:val="clear" w:fill="FFFFFF"/>
              </w:rPr>
              <w:t>的办学思想、办学行为、办学条件、领导班子和教师队伍建设、教学管理、财产和财务管理、招生宣传、收费、食堂、宿舍、交通等各个方面进行全面的检查。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一般</w:t>
            </w:r>
            <w:r>
              <w:rPr>
                <w:rFonts w:hint="eastAsia" w:cs="宋体" w:asciiTheme="minorEastAsia" w:hAnsiTheme="minorEastAsia"/>
                <w:kern w:val="0"/>
                <w:sz w:val="20"/>
                <w:szCs w:val="20"/>
              </w:rPr>
              <w:t>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教培机构</w:t>
            </w:r>
            <w:r>
              <w:rPr>
                <w:rFonts w:hint="eastAsia" w:cs="宋体" w:asciiTheme="minorEastAsia" w:hAnsiTheme="minorEastAsia"/>
                <w:kern w:val="0"/>
                <w:sz w:val="20"/>
                <w:szCs w:val="20"/>
              </w:rPr>
              <w:t>和其他组织等主体</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县级以上</w:t>
            </w:r>
            <w:r>
              <w:rPr>
                <w:rFonts w:hint="eastAsia" w:cs="宋体" w:asciiTheme="minorEastAsia" w:hAnsiTheme="minorEastAsia"/>
                <w:kern w:val="0"/>
                <w:sz w:val="20"/>
                <w:szCs w:val="20"/>
                <w:lang w:eastAsia="zh-CN"/>
              </w:rPr>
              <w:t>教育行政</w:t>
            </w:r>
            <w:r>
              <w:rPr>
                <w:rFonts w:hint="eastAsia" w:cs="宋体" w:asciiTheme="minorEastAsia" w:hAnsiTheme="minorEastAsia"/>
                <w:kern w:val="0"/>
                <w:sz w:val="20"/>
                <w:szCs w:val="20"/>
              </w:rPr>
              <w:t>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 w:val="20"/>
                <w:szCs w:val="20"/>
                <w:lang w:eastAsia="zh-CN"/>
              </w:rPr>
            </w:pPr>
            <w:r>
              <w:rPr>
                <w:rFonts w:ascii="宋体" w:hAnsi="宋体" w:eastAsia="宋体" w:cs="宋体"/>
                <w:i w:val="0"/>
                <w:caps w:val="0"/>
                <w:color w:val="38495A"/>
                <w:spacing w:val="0"/>
                <w:sz w:val="20"/>
                <w:szCs w:val="20"/>
                <w:shd w:val="clear" w:fill="FFFFFF"/>
              </w:rPr>
              <w:t>《民办教育促进法》、《国务院办公厅关于规范校外培训机构发展的意见》（国办发〔2018〕80号）、《教育部办公厅国家市场监管总局办公厅应急管理部办公厅关于健全校外培训机构专项治理整改若干工作机制的通知》（教基厅〔2018〕10号）、《教育部办公厅关于印发义务教育六科超标超前培训负面清单（试行）的通知》（教基厅2020〕1号）、《教育部办公厅市场监管总局办公厅关于印发〈中小学生校外培训服务合同（示范文本）〉的通知》（教基厅〔2020〕2号）等相关文件</w:t>
            </w:r>
            <w:r>
              <w:rPr>
                <w:rFonts w:hint="eastAsia" w:ascii="宋体" w:hAnsi="宋体" w:eastAsia="宋体" w:cs="宋体"/>
                <w:i w:val="0"/>
                <w:caps w:val="0"/>
                <w:color w:val="38495A"/>
                <w:spacing w:val="0"/>
                <w:sz w:val="20"/>
                <w:szCs w:val="20"/>
                <w:shd w:val="clear" w:fill="FFFFFF"/>
                <w:lang w:eastAsia="zh-CN"/>
              </w:rPr>
              <w:t>。</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eastAsiaTheme="minorEastAsia" w:cstheme="minorEastAsia"/>
                <w:kern w:val="2"/>
                <w:sz w:val="20"/>
                <w:szCs w:val="20"/>
                <w:lang w:val="en-US" w:eastAsia="zh-CN" w:bidi="ar-SA"/>
              </w:rPr>
              <w:t>市、县两级监管</w:t>
            </w:r>
          </w:p>
        </w:tc>
      </w:tr>
      <w:tr>
        <w:tblPrEx>
          <w:tblLayout w:type="fixed"/>
          <w:tblCellMar>
            <w:top w:w="0" w:type="dxa"/>
            <w:left w:w="108" w:type="dxa"/>
            <w:bottom w:w="0" w:type="dxa"/>
            <w:right w:w="108" w:type="dxa"/>
          </w:tblCellMar>
        </w:tblPrEx>
        <w:trPr>
          <w:trHeight w:val="382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0"/>
              </w:numPr>
              <w:tabs>
                <w:tab w:val="left" w:pos="0"/>
              </w:tabs>
              <w:ind w:leftChars="0"/>
              <w:jc w:val="both"/>
              <w:rPr>
                <w:rFonts w:hint="eastAsia" w:cs="宋体" w:asciiTheme="minorEastAsia" w:hAnsiTheme="minorEastAsia" w:eastAsiaTheme="minorEastAsia"/>
                <w:color w:val="000000"/>
                <w:sz w:val="20"/>
                <w:szCs w:val="20"/>
                <w:lang w:val="en-US" w:eastAsia="zh-CN"/>
              </w:rPr>
            </w:pPr>
            <w:r>
              <w:rPr>
                <w:rFonts w:hint="eastAsia" w:cs="宋体" w:asciiTheme="minorEastAsia" w:hAnsiTheme="minorEastAsia"/>
                <w:color w:val="000000"/>
                <w:sz w:val="20"/>
                <w:szCs w:val="20"/>
                <w:lang w:val="en-US" w:eastAsia="zh-CN"/>
              </w:rPr>
              <w:t>2</w:t>
            </w: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lang w:eastAsia="zh-CN"/>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eastAsia="zh-CN"/>
              </w:rPr>
              <w:t>全区公、民办中小学（幼儿园）的校园安全。</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val="en-US" w:eastAsia="zh-CN"/>
              </w:rPr>
              <w:t>1.</w:t>
            </w:r>
            <w:r>
              <w:rPr>
                <w:rFonts w:hint="eastAsia" w:cs="宋体" w:asciiTheme="minorEastAsia" w:hAnsiTheme="minorEastAsia"/>
                <w:kern w:val="0"/>
                <w:sz w:val="20"/>
                <w:szCs w:val="20"/>
                <w:lang w:eastAsia="zh-CN"/>
              </w:rPr>
              <w:t>对学校安全工作的检查；</w:t>
            </w:r>
          </w:p>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val="en-US" w:eastAsia="zh-CN"/>
              </w:rPr>
              <w:t>2.</w:t>
            </w:r>
            <w:r>
              <w:rPr>
                <w:rFonts w:hint="eastAsia" w:cs="宋体" w:asciiTheme="minorEastAsia" w:hAnsiTheme="minorEastAsia"/>
                <w:kern w:val="0"/>
                <w:sz w:val="20"/>
                <w:szCs w:val="20"/>
                <w:lang w:eastAsia="zh-CN"/>
              </w:rPr>
              <w:t>日常消防监督检查；</w:t>
            </w:r>
          </w:p>
          <w:p>
            <w:pPr>
              <w:widowControl/>
              <w:spacing w:line="240" w:lineRule="exact"/>
              <w:jc w:val="left"/>
              <w:rPr>
                <w:rFonts w:hint="default" w:cs="宋体" w:asciiTheme="minorEastAsia" w:hAnsiTheme="minorEastAsia"/>
                <w:kern w:val="0"/>
                <w:sz w:val="20"/>
                <w:szCs w:val="20"/>
                <w:lang w:val="en-US" w:eastAsia="zh-CN"/>
              </w:rPr>
            </w:pP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一般</w:t>
            </w:r>
            <w:r>
              <w:rPr>
                <w:rFonts w:hint="eastAsia" w:cs="宋体" w:asciiTheme="minorEastAsia" w:hAnsiTheme="minorEastAsia"/>
                <w:kern w:val="0"/>
                <w:sz w:val="20"/>
                <w:szCs w:val="20"/>
              </w:rPr>
              <w:t>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全区公、民办中小学（幼儿园）</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县级以上</w:t>
            </w:r>
            <w:r>
              <w:rPr>
                <w:rFonts w:hint="eastAsia" w:cs="宋体" w:asciiTheme="minorEastAsia" w:hAnsiTheme="minorEastAsia"/>
                <w:kern w:val="0"/>
                <w:sz w:val="20"/>
                <w:szCs w:val="20"/>
                <w:lang w:eastAsia="zh-CN"/>
              </w:rPr>
              <w:t>教育行政</w:t>
            </w:r>
            <w:r>
              <w:rPr>
                <w:rFonts w:hint="eastAsia" w:cs="宋体" w:asciiTheme="minorEastAsia" w:hAnsiTheme="minorEastAsia"/>
                <w:kern w:val="0"/>
                <w:sz w:val="20"/>
                <w:szCs w:val="20"/>
              </w:rPr>
              <w:t>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《中小学校园安全检查制</w:t>
            </w:r>
            <w:bookmarkStart w:id="0" w:name="_GoBack"/>
            <w:bookmarkEnd w:id="0"/>
            <w:r>
              <w:rPr>
                <w:rFonts w:hint="eastAsia" w:cs="宋体" w:asciiTheme="minorEastAsia" w:hAnsiTheme="minorEastAsia"/>
                <w:kern w:val="0"/>
                <w:sz w:val="20"/>
                <w:szCs w:val="20"/>
              </w:rPr>
              <w:t>度》，《学校治安管理制度》，《学校卫生工作条例》，《食品安全法》等条例。</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eastAsia="zh-CN"/>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r>
              <w:rPr>
                <w:rFonts w:hint="eastAsia" w:asciiTheme="minorEastAsia" w:hAnsiTheme="minorEastAsia" w:eastAsiaTheme="minorEastAsia" w:cstheme="minorEastAsia"/>
                <w:kern w:val="2"/>
                <w:sz w:val="20"/>
                <w:szCs w:val="20"/>
                <w:lang w:val="en-US" w:eastAsia="zh-CN" w:bidi="ar-SA"/>
              </w:rPr>
              <w:t>市、县两级监管</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F7A69"/>
    <w:rsid w:val="3FA9091E"/>
    <w:rsid w:val="4AF817F9"/>
    <w:rsid w:val="53D14AA2"/>
    <w:rsid w:val="5A9864CA"/>
    <w:rsid w:val="6A2E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2022-01-17T02:53:00Z</dcterms:created>
  <dc:creator>Administrator</dc:creator>
  <cp:lastModifiedBy>Administrator</cp:lastModifiedBy>
  <dcterms:modified xsi:type="dcterms:W3CDTF">2022-01-17T03:09:08Z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