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龙城街道</w:t>
      </w: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年政府信息公开</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工作年度报告</w:t>
      </w:r>
    </w:p>
    <w:p>
      <w:pPr>
        <w:spacing w:line="560" w:lineRule="exact"/>
        <w:jc w:val="center"/>
        <w:rPr>
          <w:rFonts w:hint="eastAsia"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75" w:line="580" w:lineRule="exact"/>
        <w:ind w:firstLine="645"/>
        <w:textAlignment w:val="auto"/>
        <w:rPr>
          <w:rFonts w:hint="eastAsia" w:ascii="仿宋_GB2312" w:hAnsi="微软雅黑" w:eastAsia="仿宋_GB2312" w:cs="宋体"/>
          <w:color w:val="000000"/>
          <w:kern w:val="0"/>
          <w:szCs w:val="21"/>
        </w:rPr>
      </w:pPr>
      <w:r>
        <w:rPr>
          <w:rFonts w:hint="eastAsia" w:ascii="仿宋_GB2312" w:hAnsi="微软雅黑" w:eastAsia="仿宋_GB2312" w:cs="宋体"/>
          <w:color w:val="000000"/>
          <w:kern w:val="0"/>
          <w:sz w:val="32"/>
          <w:szCs w:val="32"/>
        </w:rPr>
        <w:t>按照《中华人民共和国政府信息公开条例》、《国务院办公厅政府信息与政务公开办公室信息公开工作年度报告有关事项的通知》、《云南省人民政府办公厅关于编制公布政府信息公开工作年度报告有关事项的通知》以及市委市政府、区委区政府全面推进政务公开工作的部署要求，龙城街道坚持以习近平新时代中国特色社会主义思想为指导，紧紧围绕区委、区政府重大决策部署，把推进政府信息主动公开与政府信息管理、依申请公开、平台建设和监督保障紧密结合，认真做好政府信息公开的各项工作。现将街道</w:t>
      </w:r>
      <w:r>
        <w:rPr>
          <w:rFonts w:hint="eastAsia" w:ascii="仿宋_GB2312" w:eastAsia="仿宋_GB2312"/>
          <w:color w:val="000000"/>
          <w:kern w:val="0"/>
          <w:sz w:val="32"/>
          <w:szCs w:val="32"/>
          <w:lang w:val="en-US" w:eastAsia="zh-CN"/>
        </w:rPr>
        <w:t>2021</w:t>
      </w:r>
      <w:r>
        <w:rPr>
          <w:rFonts w:hint="eastAsia" w:ascii="仿宋_GB2312" w:hAnsi="微软雅黑" w:eastAsia="仿宋_GB2312" w:cs="宋体"/>
          <w:color w:val="000000"/>
          <w:kern w:val="0"/>
          <w:sz w:val="32"/>
          <w:szCs w:val="32"/>
        </w:rPr>
        <w:t>年度政府信息公开工作情况报告如下：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一、总体情况</w:t>
      </w:r>
    </w:p>
    <w:p>
      <w:pPr>
        <w:keepNext w:val="0"/>
        <w:keepLines w:val="0"/>
        <w:pageBreakBefore w:val="0"/>
        <w:widowControl/>
        <w:kinsoku/>
        <w:wordWrap/>
        <w:overflowPunct/>
        <w:topLinePunct w:val="0"/>
        <w:autoSpaceDE/>
        <w:autoSpaceDN/>
        <w:bidi w:val="0"/>
        <w:adjustRightInd/>
        <w:snapToGrid/>
        <w:spacing w:before="75" w:line="580" w:lineRule="exact"/>
        <w:ind w:firstLine="645"/>
        <w:textAlignment w:val="auto"/>
        <w:rPr>
          <w:rFonts w:hint="eastAsia" w:hAnsi="仿宋_GB2312" w:eastAsia="仿宋_GB2312"/>
          <w:sz w:val="32"/>
          <w:szCs w:val="32"/>
        </w:rPr>
      </w:pPr>
      <w:r>
        <w:rPr>
          <w:rFonts w:eastAsia="微软雅黑"/>
          <w:color w:val="000000"/>
          <w:kern w:val="0"/>
          <w:sz w:val="32"/>
          <w:szCs w:val="32"/>
        </w:rPr>
        <w:t>20</w:t>
      </w:r>
      <w:r>
        <w:rPr>
          <w:rFonts w:hint="eastAsia" w:eastAsia="微软雅黑"/>
          <w:color w:val="000000"/>
          <w:kern w:val="0"/>
          <w:sz w:val="32"/>
          <w:szCs w:val="32"/>
          <w:lang w:val="en-US" w:eastAsia="zh-CN"/>
        </w:rPr>
        <w:t>21</w:t>
      </w:r>
      <w:r>
        <w:rPr>
          <w:rFonts w:hint="eastAsia" w:ascii="仿宋_GB2312" w:hAnsi="微软雅黑" w:eastAsia="仿宋_GB2312" w:cs="宋体"/>
          <w:color w:val="000000"/>
          <w:kern w:val="0"/>
          <w:sz w:val="32"/>
          <w:szCs w:val="32"/>
        </w:rPr>
        <w:t>年，龙城街道党工委、办事处高度重视政府信息公开工作，将政府信息公开工作列入党工委、办事处的重要工作议事日程，及时调整充实政府信息公开工作领导小组，成立了由街道办事处主任任组长，分管信息工作领导任副组长，各部门主要负责人为成员的政府信息公开工作领导小组，领导小组下设办公室在党政综合办，</w:t>
      </w:r>
      <w:r>
        <w:rPr>
          <w:rFonts w:hint="eastAsia" w:hAnsi="仿宋_GB2312" w:eastAsia="仿宋_GB2312"/>
          <w:sz w:val="32"/>
          <w:szCs w:val="32"/>
        </w:rPr>
        <w:t>由专人负责政务与政府公开工作。</w:t>
      </w:r>
    </w:p>
    <w:p>
      <w:pPr>
        <w:keepNext w:val="0"/>
        <w:keepLines w:val="0"/>
        <w:pageBreakBefore w:val="0"/>
        <w:widowControl/>
        <w:kinsoku/>
        <w:wordWrap/>
        <w:overflowPunct/>
        <w:topLinePunct w:val="0"/>
        <w:autoSpaceDE/>
        <w:autoSpaceDN/>
        <w:bidi w:val="0"/>
        <w:adjustRightInd/>
        <w:snapToGrid/>
        <w:spacing w:before="75" w:line="580" w:lineRule="exact"/>
        <w:ind w:firstLine="645"/>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按照要求重点对街道所涉及的重点工作、日常工作动态、群众工作、党务工作、相关法律法规及条例、重大工程项目内容等进行了公开公示。全年累计公开各类政府信息</w:t>
      </w:r>
      <w:r>
        <w:rPr>
          <w:rFonts w:hint="eastAsia" w:eastAsia="微软雅黑"/>
          <w:color w:val="000000"/>
          <w:kern w:val="0"/>
          <w:sz w:val="32"/>
          <w:szCs w:val="32"/>
          <w:lang w:val="en-US" w:eastAsia="zh-CN"/>
        </w:rPr>
        <w:t>118</w:t>
      </w:r>
      <w:r>
        <w:rPr>
          <w:rFonts w:hint="eastAsia" w:ascii="仿宋_GB2312" w:hAnsi="微软雅黑" w:eastAsia="仿宋_GB2312" w:cs="宋体"/>
          <w:color w:val="000000"/>
          <w:kern w:val="0"/>
          <w:sz w:val="32"/>
          <w:szCs w:val="32"/>
        </w:rPr>
        <w:t>条，其中中国呈贡政务网公开信息</w:t>
      </w:r>
      <w:r>
        <w:rPr>
          <w:rFonts w:eastAsia="微软雅黑"/>
          <w:color w:val="000000"/>
          <w:kern w:val="0"/>
          <w:sz w:val="32"/>
          <w:szCs w:val="32"/>
        </w:rPr>
        <w:t>1</w:t>
      </w:r>
      <w:r>
        <w:rPr>
          <w:rFonts w:hint="eastAsia" w:eastAsia="微软雅黑"/>
          <w:color w:val="000000"/>
          <w:kern w:val="0"/>
          <w:sz w:val="32"/>
          <w:szCs w:val="32"/>
        </w:rPr>
        <w:t>04</w:t>
      </w:r>
      <w:r>
        <w:rPr>
          <w:rFonts w:hint="eastAsia" w:ascii="仿宋_GB2312" w:hAnsi="微软雅黑" w:eastAsia="仿宋_GB2312" w:cs="宋体"/>
          <w:color w:val="000000"/>
          <w:kern w:val="0"/>
          <w:sz w:val="32"/>
          <w:szCs w:val="32"/>
        </w:rPr>
        <w:t>条，</w:t>
      </w:r>
      <w:r>
        <w:rPr>
          <w:rFonts w:eastAsia="微软雅黑"/>
          <w:color w:val="000000"/>
          <w:kern w:val="0"/>
          <w:sz w:val="32"/>
          <w:szCs w:val="32"/>
        </w:rPr>
        <w:t>“</w:t>
      </w:r>
      <w:r>
        <w:rPr>
          <w:rFonts w:hint="eastAsia" w:ascii="仿宋_GB2312" w:hAnsi="微软雅黑" w:eastAsia="仿宋_GB2312" w:cs="宋体"/>
          <w:color w:val="000000"/>
          <w:kern w:val="0"/>
          <w:sz w:val="32"/>
          <w:szCs w:val="32"/>
        </w:rPr>
        <w:t>阳光政府四项制度</w:t>
      </w:r>
      <w:r>
        <w:rPr>
          <w:rFonts w:eastAsia="微软雅黑"/>
          <w:color w:val="000000"/>
          <w:kern w:val="0"/>
          <w:sz w:val="32"/>
          <w:szCs w:val="32"/>
        </w:rPr>
        <w:t>”</w:t>
      </w:r>
      <w:r>
        <w:rPr>
          <w:rFonts w:hint="eastAsia" w:ascii="仿宋_GB2312" w:hAnsi="微软雅黑" w:eastAsia="仿宋_GB2312" w:cs="宋体"/>
          <w:color w:val="000000"/>
          <w:kern w:val="0"/>
          <w:sz w:val="32"/>
          <w:szCs w:val="32"/>
        </w:rPr>
        <w:t>完成重要事项公示</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条，重点工作通报</w:t>
      </w:r>
      <w:r>
        <w:rPr>
          <w:rFonts w:hint="eastAsia" w:eastAsia="微软雅黑"/>
          <w:color w:val="000000"/>
          <w:kern w:val="0"/>
          <w:sz w:val="32"/>
          <w:szCs w:val="32"/>
          <w:lang w:val="en-US" w:eastAsia="zh-CN"/>
        </w:rPr>
        <w:t>6</w:t>
      </w:r>
      <w:r>
        <w:rPr>
          <w:rFonts w:hint="eastAsia" w:ascii="仿宋_GB2312" w:hAnsi="微软雅黑" w:eastAsia="仿宋_GB2312" w:cs="宋体"/>
          <w:color w:val="000000"/>
          <w:kern w:val="0"/>
          <w:sz w:val="32"/>
          <w:szCs w:val="32"/>
        </w:rPr>
        <w:t>条，</w:t>
      </w:r>
      <w:r>
        <w:rPr>
          <w:rFonts w:eastAsia="仿宋_GB2312"/>
          <w:sz w:val="32"/>
          <w:szCs w:val="32"/>
        </w:rPr>
        <w:t xml:space="preserve"> “一号通”政务知识库上发布信息</w:t>
      </w:r>
      <w:r>
        <w:rPr>
          <w:rFonts w:hint="eastAsia" w:eastAsia="仿宋_GB2312"/>
          <w:sz w:val="32"/>
          <w:szCs w:val="32"/>
        </w:rPr>
        <w:t>5条</w:t>
      </w:r>
      <w:r>
        <w:rPr>
          <w:rFonts w:hint="eastAsia" w:ascii="仿宋_GB2312" w:hAnsi="微软雅黑" w:eastAsia="仿宋_GB2312" w:cs="宋体"/>
          <w:color w:val="000000"/>
          <w:kern w:val="0"/>
          <w:sz w:val="32"/>
          <w:szCs w:val="32"/>
        </w:rPr>
        <w:t>。累计发布微博</w:t>
      </w:r>
      <w:r>
        <w:rPr>
          <w:rFonts w:hint="eastAsia" w:eastAsia="微软雅黑"/>
          <w:color w:val="000000"/>
          <w:kern w:val="0"/>
          <w:sz w:val="32"/>
          <w:szCs w:val="32"/>
          <w:lang w:val="en-US" w:eastAsia="zh-CN"/>
        </w:rPr>
        <w:t>477</w:t>
      </w:r>
      <w:r>
        <w:rPr>
          <w:rFonts w:hint="eastAsia" w:ascii="仿宋_GB2312" w:hAnsi="微软雅黑" w:eastAsia="仿宋_GB2312" w:cs="宋体"/>
          <w:color w:val="000000"/>
          <w:kern w:val="0"/>
          <w:sz w:val="32"/>
          <w:szCs w:val="32"/>
        </w:rPr>
        <w:t>条，微信</w:t>
      </w:r>
      <w:r>
        <w:rPr>
          <w:rFonts w:hint="eastAsia" w:eastAsia="微软雅黑"/>
          <w:color w:val="000000"/>
          <w:kern w:val="0"/>
          <w:sz w:val="32"/>
          <w:szCs w:val="32"/>
          <w:lang w:val="en-US" w:eastAsia="zh-CN"/>
        </w:rPr>
        <w:t>743</w:t>
      </w:r>
      <w:r>
        <w:rPr>
          <w:rFonts w:hint="eastAsia" w:ascii="仿宋_GB2312" w:hAnsi="微软雅黑" w:eastAsia="仿宋_GB2312" w:cs="宋体"/>
          <w:color w:val="000000"/>
          <w:kern w:val="0"/>
          <w:sz w:val="32"/>
          <w:szCs w:val="32"/>
        </w:rPr>
        <w:t>条；</w:t>
      </w:r>
      <w:r>
        <w:rPr>
          <w:rFonts w:eastAsia="仿宋_GB2312"/>
          <w:color w:val="333333"/>
          <w:sz w:val="32"/>
          <w:szCs w:val="32"/>
          <w:shd w:val="clear" w:color="auto" w:fill="FFFFFF"/>
        </w:rPr>
        <w:t>在云南基层综合服务平台发布信息</w:t>
      </w:r>
      <w:r>
        <w:rPr>
          <w:rFonts w:hint="eastAsia" w:eastAsia="仿宋_GB2312"/>
          <w:color w:val="333333"/>
          <w:sz w:val="32"/>
          <w:szCs w:val="32"/>
          <w:shd w:val="clear" w:color="auto" w:fill="FFFFFF"/>
          <w:lang w:val="en-US" w:eastAsia="zh-CN"/>
        </w:rPr>
        <w:t>7494</w:t>
      </w:r>
      <w:r>
        <w:rPr>
          <w:rFonts w:eastAsia="仿宋_GB2312"/>
          <w:color w:val="333333"/>
          <w:sz w:val="32"/>
          <w:szCs w:val="32"/>
          <w:shd w:val="clear" w:color="auto" w:fill="FFFFFF"/>
        </w:rPr>
        <w:t>条</w:t>
      </w:r>
      <w:r>
        <w:rPr>
          <w:rFonts w:hint="eastAsia" w:eastAsia="仿宋_GB2312"/>
          <w:color w:val="333333"/>
          <w:sz w:val="32"/>
          <w:szCs w:val="32"/>
          <w:shd w:val="clear" w:color="auto" w:fill="FFFFFF"/>
        </w:rPr>
        <w:t>，</w:t>
      </w:r>
      <w:r>
        <w:rPr>
          <w:rFonts w:eastAsia="仿宋_GB2312"/>
          <w:color w:val="333333"/>
          <w:sz w:val="32"/>
          <w:szCs w:val="32"/>
          <w:shd w:val="clear" w:color="auto" w:fill="FFFFFF"/>
        </w:rPr>
        <w:t>云南省政务服务网上大厅发布信息</w:t>
      </w:r>
      <w:r>
        <w:rPr>
          <w:rFonts w:hint="eastAsia" w:eastAsia="仿宋_GB2312"/>
          <w:color w:val="333333"/>
          <w:sz w:val="32"/>
          <w:szCs w:val="32"/>
          <w:shd w:val="clear" w:color="auto" w:fill="FFFFFF"/>
          <w:lang w:val="en-US" w:eastAsia="zh-CN"/>
        </w:rPr>
        <w:t>7</w:t>
      </w:r>
      <w:r>
        <w:rPr>
          <w:rFonts w:eastAsia="仿宋_GB2312"/>
          <w:color w:val="333333"/>
          <w:sz w:val="32"/>
          <w:szCs w:val="32"/>
          <w:shd w:val="clear" w:color="auto" w:fill="FFFFFF"/>
        </w:rPr>
        <w:t>条</w:t>
      </w:r>
      <w:r>
        <w:rPr>
          <w:rFonts w:hint="eastAsia" w:eastAsia="仿宋_GB2312"/>
          <w:color w:val="333333"/>
          <w:sz w:val="32"/>
          <w:szCs w:val="32"/>
          <w:shd w:val="clear" w:color="auto" w:fill="FFFFFF"/>
        </w:rPr>
        <w:t>。</w:t>
      </w:r>
      <w:r>
        <w:rPr>
          <w:rFonts w:hint="eastAsia" w:ascii="仿宋_GB2312" w:hAnsi="微软雅黑" w:eastAsia="仿宋_GB2312" w:cs="宋体"/>
          <w:color w:val="000000"/>
          <w:kern w:val="0"/>
          <w:sz w:val="32"/>
          <w:szCs w:val="32"/>
        </w:rPr>
        <w:t>所有内容分别在中国呈贡政务综合门户网站、云南省人民政府重要事项公示网、云南省人民政府重点工作通报网以及微博、微信公众平台等，进行了公开公示。</w:t>
      </w:r>
    </w:p>
    <w:p>
      <w:pPr>
        <w:keepNext w:val="0"/>
        <w:keepLines w:val="0"/>
        <w:pageBreakBefore w:val="0"/>
        <w:widowControl/>
        <w:kinsoku/>
        <w:wordWrap/>
        <w:overflowPunct/>
        <w:topLinePunct w:val="0"/>
        <w:autoSpaceDE/>
        <w:autoSpaceDN/>
        <w:bidi w:val="0"/>
        <w:adjustRightInd/>
        <w:snapToGrid/>
        <w:spacing w:before="75" w:line="580" w:lineRule="exact"/>
        <w:ind w:firstLine="645"/>
        <w:textAlignment w:val="auto"/>
        <w:rPr>
          <w:rFonts w:hint="eastAsia" w:hAnsi="仿宋_GB2312" w:eastAsia="仿宋_GB2312"/>
          <w:sz w:val="32"/>
          <w:szCs w:val="32"/>
        </w:rPr>
      </w:pPr>
      <w:r>
        <w:rPr>
          <w:rFonts w:hint="eastAsia" w:ascii="仿宋_GB2312" w:hAnsi="微软雅黑" w:eastAsia="仿宋_GB2312" w:cs="宋体"/>
          <w:color w:val="000000"/>
          <w:kern w:val="0"/>
          <w:sz w:val="32"/>
          <w:szCs w:val="32"/>
        </w:rPr>
        <w:t>街道积极做好政府信息公开载体建设，按照要求在中国呈贡网站上的街道风采、建议提案答复、财政预决算公开、依申请公开等栏目发布了相关信息，同时公布了投诉电话、邮箱，方便群众查询和反馈意见。为进一步适应新兴媒体带来的影响，通过微博微信发送和公开相关信息，并接受广大群众的咨询、投诉及意见建议，有效拓展了信息公开的渠道和广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Ansi="仿宋_GB2312" w:eastAsia="仿宋_GB2312"/>
          <w:sz w:val="32"/>
          <w:szCs w:val="32"/>
        </w:rPr>
      </w:pPr>
      <w:r>
        <w:rPr>
          <w:rFonts w:eastAsia="微软雅黑"/>
          <w:color w:val="000000"/>
          <w:kern w:val="0"/>
          <w:sz w:val="32"/>
          <w:szCs w:val="32"/>
        </w:rPr>
        <w:t>20</w:t>
      </w:r>
      <w:r>
        <w:rPr>
          <w:rFonts w:hint="eastAsia" w:eastAsia="微软雅黑"/>
          <w:color w:val="000000"/>
          <w:kern w:val="0"/>
          <w:sz w:val="32"/>
          <w:szCs w:val="32"/>
          <w:lang w:val="en-US" w:eastAsia="zh-CN"/>
        </w:rPr>
        <w:t>21</w:t>
      </w:r>
      <w:r>
        <w:rPr>
          <w:rFonts w:hint="eastAsia" w:ascii="仿宋_GB2312" w:hAnsi="微软雅黑" w:eastAsia="仿宋_GB2312" w:cs="宋体"/>
          <w:color w:val="000000"/>
          <w:kern w:val="0"/>
          <w:sz w:val="32"/>
          <w:szCs w:val="32"/>
        </w:rPr>
        <w:t>年度街道</w:t>
      </w:r>
      <w:r>
        <w:rPr>
          <w:rFonts w:hAnsi="仿宋_GB2312" w:eastAsia="仿宋_GB2312"/>
          <w:sz w:val="32"/>
          <w:szCs w:val="32"/>
        </w:rPr>
        <w:t>共收到区人大代表建议</w:t>
      </w:r>
      <w:r>
        <w:rPr>
          <w:rFonts w:hint="eastAsia" w:hAnsi="仿宋_GB2312" w:eastAsia="仿宋_GB2312"/>
          <w:sz w:val="32"/>
          <w:szCs w:val="32"/>
        </w:rPr>
        <w:t>主办件</w:t>
      </w:r>
      <w:r>
        <w:rPr>
          <w:rFonts w:hint="eastAsia" w:hAnsi="仿宋_GB2312" w:eastAsia="仿宋_GB2312"/>
          <w:sz w:val="32"/>
          <w:szCs w:val="32"/>
          <w:lang w:val="en-US" w:eastAsia="zh-CN"/>
        </w:rPr>
        <w:t>10</w:t>
      </w:r>
      <w:r>
        <w:rPr>
          <w:rFonts w:hint="eastAsia" w:hAnsi="仿宋_GB2312" w:eastAsia="仿宋_GB2312"/>
          <w:sz w:val="32"/>
          <w:szCs w:val="32"/>
        </w:rPr>
        <w:t>件、协办件</w:t>
      </w:r>
      <w:r>
        <w:rPr>
          <w:rFonts w:hint="eastAsia" w:hAnsi="仿宋_GB2312" w:eastAsia="仿宋_GB2312"/>
          <w:sz w:val="32"/>
          <w:szCs w:val="32"/>
          <w:lang w:val="en-US" w:eastAsia="zh-CN"/>
        </w:rPr>
        <w:t>14</w:t>
      </w:r>
      <w:r>
        <w:rPr>
          <w:rFonts w:hint="eastAsia" w:hAnsi="仿宋_GB2312" w:eastAsia="仿宋_GB2312"/>
          <w:sz w:val="32"/>
          <w:szCs w:val="32"/>
        </w:rPr>
        <w:t>件，</w:t>
      </w:r>
      <w:r>
        <w:rPr>
          <w:rFonts w:hAnsi="仿宋_GB2312" w:eastAsia="仿宋_GB2312"/>
          <w:sz w:val="32"/>
          <w:szCs w:val="32"/>
        </w:rPr>
        <w:t>政协提案</w:t>
      </w:r>
      <w:r>
        <w:rPr>
          <w:rFonts w:hint="eastAsia" w:hAnsi="仿宋_GB2312" w:eastAsia="仿宋_GB2312"/>
          <w:sz w:val="32"/>
          <w:szCs w:val="32"/>
        </w:rPr>
        <w:t>主办件</w:t>
      </w:r>
      <w:r>
        <w:rPr>
          <w:rFonts w:hint="eastAsia" w:hAnsi="仿宋_GB2312" w:eastAsia="仿宋_GB2312"/>
          <w:sz w:val="32"/>
          <w:szCs w:val="32"/>
          <w:lang w:val="en-US" w:eastAsia="zh-CN"/>
        </w:rPr>
        <w:t>3</w:t>
      </w:r>
      <w:r>
        <w:rPr>
          <w:rFonts w:hint="eastAsia" w:hAnsi="仿宋_GB2312" w:eastAsia="仿宋_GB2312"/>
          <w:sz w:val="32"/>
          <w:szCs w:val="32"/>
        </w:rPr>
        <w:t>件、协办件1</w:t>
      </w:r>
      <w:r>
        <w:rPr>
          <w:rFonts w:hint="eastAsia" w:hAnsi="仿宋_GB2312" w:eastAsia="仿宋_GB2312"/>
          <w:sz w:val="32"/>
          <w:szCs w:val="32"/>
          <w:lang w:val="en-US" w:eastAsia="zh-CN"/>
        </w:rPr>
        <w:t>8</w:t>
      </w:r>
      <w:r>
        <w:rPr>
          <w:rFonts w:hAnsi="仿宋_GB2312" w:eastAsia="仿宋_GB2312"/>
          <w:sz w:val="32"/>
          <w:szCs w:val="32"/>
        </w:rPr>
        <w:t>件，</w:t>
      </w:r>
      <w:r>
        <w:rPr>
          <w:rFonts w:hint="eastAsia" w:hAnsi="仿宋_GB2312" w:eastAsia="仿宋_GB2312"/>
          <w:sz w:val="32"/>
          <w:szCs w:val="32"/>
        </w:rPr>
        <w:t>已</w:t>
      </w:r>
      <w:r>
        <w:rPr>
          <w:rFonts w:hAnsi="仿宋_GB2312" w:eastAsia="仿宋_GB2312"/>
          <w:sz w:val="32"/>
          <w:szCs w:val="32"/>
        </w:rPr>
        <w:t>按时限要求牵头办结，并及时将人大代表建议办理情况和督查情况及时向社会公示。</w:t>
      </w:r>
      <w:r>
        <w:rPr>
          <w:rFonts w:hAnsi="仿宋_GB2312" w:eastAsia="仿宋_GB2312"/>
          <w:sz w:val="32"/>
          <w:szCs w:val="32"/>
          <w:shd w:val="clear" w:color="auto" w:fill="FFFFFF"/>
        </w:rPr>
        <w:t>做好</w:t>
      </w:r>
      <w:r>
        <w:rPr>
          <w:rFonts w:hint="eastAsia" w:hAnsi="仿宋_GB2312" w:eastAsia="仿宋_GB2312"/>
          <w:sz w:val="32"/>
          <w:szCs w:val="32"/>
          <w:shd w:val="clear" w:color="auto" w:fill="FFFFFF"/>
        </w:rPr>
        <w:t>12345热线及时接听并通过</w:t>
      </w:r>
      <w:r>
        <w:rPr>
          <w:rFonts w:eastAsia="仿宋_GB2312"/>
          <w:sz w:val="32"/>
          <w:szCs w:val="32"/>
        </w:rPr>
        <w:t>“</w:t>
      </w:r>
      <w:r>
        <w:rPr>
          <w:rFonts w:hAnsi="仿宋_GB2312" w:eastAsia="仿宋_GB2312"/>
          <w:sz w:val="32"/>
          <w:szCs w:val="32"/>
        </w:rPr>
        <w:t>一号通</w:t>
      </w:r>
      <w:r>
        <w:rPr>
          <w:rFonts w:eastAsia="仿宋_GB2312"/>
          <w:sz w:val="32"/>
          <w:szCs w:val="32"/>
        </w:rPr>
        <w:t>”</w:t>
      </w:r>
      <w:r>
        <w:rPr>
          <w:rFonts w:hAnsi="仿宋_GB2312" w:eastAsia="仿宋_GB2312"/>
          <w:sz w:val="32"/>
          <w:szCs w:val="32"/>
        </w:rPr>
        <w:t>平台的</w:t>
      </w:r>
      <w:r>
        <w:rPr>
          <w:rFonts w:hint="eastAsia" w:hAnsi="仿宋_GB2312" w:eastAsia="仿宋_GB2312"/>
          <w:sz w:val="32"/>
          <w:szCs w:val="32"/>
        </w:rPr>
        <w:t>转办</w:t>
      </w:r>
      <w:r>
        <w:rPr>
          <w:rFonts w:hAnsi="仿宋_GB2312" w:eastAsia="仿宋_GB2312"/>
          <w:sz w:val="32"/>
          <w:szCs w:val="32"/>
          <w:shd w:val="clear" w:color="auto" w:fill="FFFFFF"/>
        </w:rPr>
        <w:t>，明确了</w:t>
      </w:r>
      <w:r>
        <w:rPr>
          <w:rFonts w:eastAsia="仿宋_GB2312"/>
          <w:sz w:val="32"/>
          <w:szCs w:val="32"/>
        </w:rPr>
        <w:t>“</w:t>
      </w:r>
      <w:r>
        <w:rPr>
          <w:rFonts w:hAnsi="仿宋_GB2312" w:eastAsia="仿宋_GB2312"/>
          <w:sz w:val="32"/>
          <w:szCs w:val="32"/>
        </w:rPr>
        <w:t>一号通</w:t>
      </w:r>
      <w:r>
        <w:rPr>
          <w:rFonts w:eastAsia="仿宋_GB2312"/>
          <w:sz w:val="32"/>
          <w:szCs w:val="32"/>
        </w:rPr>
        <w:t>”</w:t>
      </w:r>
      <w:r>
        <w:rPr>
          <w:rFonts w:hAnsi="仿宋_GB2312" w:eastAsia="仿宋_GB2312"/>
          <w:sz w:val="32"/>
          <w:szCs w:val="32"/>
        </w:rPr>
        <w:t>业务办公系统使用负责人、经办人和知识库维护人员，认真接待和受理信访件，提高对群众咨询、意见、投诉和查询案件办理答复的服务质量</w:t>
      </w:r>
      <w:r>
        <w:rPr>
          <w:rFonts w:hint="eastAsia" w:hAnsi="仿宋_GB2312" w:eastAsia="仿宋_GB2312"/>
          <w:sz w:val="32"/>
          <w:szCs w:val="32"/>
          <w:lang w:val="en-US" w:eastAsia="zh-CN"/>
        </w:rPr>
        <w:t>。截至目前，街道</w:t>
      </w:r>
      <w:r>
        <w:rPr>
          <w:rFonts w:hAnsi="仿宋_GB2312" w:eastAsia="仿宋_GB2312"/>
          <w:sz w:val="32"/>
          <w:szCs w:val="32"/>
        </w:rPr>
        <w:t>共</w:t>
      </w:r>
      <w:r>
        <w:rPr>
          <w:rFonts w:hint="eastAsia" w:hAnsi="仿宋_GB2312" w:eastAsia="仿宋_GB2312"/>
          <w:sz w:val="32"/>
          <w:szCs w:val="32"/>
          <w:lang w:eastAsia="zh-CN"/>
        </w:rPr>
        <w:t>办理信访件</w:t>
      </w:r>
      <w:r>
        <w:rPr>
          <w:rFonts w:hint="eastAsia" w:hAnsi="仿宋_GB2312" w:eastAsia="仿宋_GB2312"/>
          <w:sz w:val="32"/>
          <w:szCs w:val="32"/>
          <w:lang w:val="en-US" w:eastAsia="zh-CN"/>
        </w:rPr>
        <w:t>506件，其中中央巡视组移交信访件78件，省委巡视组移交信访件55件，国家信访局交办26件，区信访局交办10件。</w:t>
      </w:r>
      <w:r>
        <w:rPr>
          <w:rFonts w:eastAsia="仿宋_GB2312"/>
          <w:sz w:val="32"/>
          <w:szCs w:val="32"/>
        </w:rPr>
        <w:t>12345</w:t>
      </w:r>
      <w:r>
        <w:rPr>
          <w:rFonts w:hAnsi="仿宋_GB2312" w:eastAsia="仿宋_GB2312"/>
          <w:sz w:val="32"/>
          <w:szCs w:val="32"/>
        </w:rPr>
        <w:t>受理办件</w:t>
      </w:r>
      <w:r>
        <w:rPr>
          <w:rFonts w:hint="eastAsia" w:hAnsi="仿宋_GB2312" w:eastAsia="仿宋_GB2312"/>
          <w:sz w:val="32"/>
          <w:szCs w:val="32"/>
          <w:lang w:val="en-US" w:eastAsia="zh-CN"/>
        </w:rPr>
        <w:t>88</w:t>
      </w:r>
      <w:r>
        <w:rPr>
          <w:rFonts w:hAnsi="仿宋_GB2312" w:eastAsia="仿宋_GB2312"/>
          <w:sz w:val="32"/>
          <w:szCs w:val="32"/>
        </w:rPr>
        <w:t>件，现已全部办结，办结率</w:t>
      </w:r>
      <w:r>
        <w:rPr>
          <w:rFonts w:eastAsia="仿宋_GB2312"/>
          <w:sz w:val="32"/>
          <w:szCs w:val="32"/>
        </w:rPr>
        <w:t>100%</w:t>
      </w:r>
      <w:r>
        <w:rPr>
          <w:rFonts w:hAns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before="75" w:line="580" w:lineRule="exact"/>
        <w:ind w:firstLine="645"/>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街道制定《龙城街道政府信息公开制度》，遵循</w:t>
      </w:r>
      <w:r>
        <w:rPr>
          <w:rFonts w:eastAsia="微软雅黑"/>
          <w:color w:val="000000"/>
          <w:kern w:val="0"/>
          <w:sz w:val="32"/>
          <w:szCs w:val="32"/>
        </w:rPr>
        <w:t>“</w:t>
      </w:r>
      <w:r>
        <w:rPr>
          <w:rFonts w:hint="eastAsia" w:ascii="仿宋_GB2312" w:hAnsi="微软雅黑" w:eastAsia="仿宋_GB2312" w:cs="宋体"/>
          <w:color w:val="000000"/>
          <w:kern w:val="0"/>
          <w:sz w:val="32"/>
          <w:szCs w:val="32"/>
        </w:rPr>
        <w:t>先审查、后公开，谁审查、谁负责，谁公开、谁负责，既确保国家秘密安全，又方便政府信息公开</w:t>
      </w:r>
      <w:r>
        <w:rPr>
          <w:rFonts w:eastAsia="微软雅黑"/>
          <w:color w:val="000000"/>
          <w:kern w:val="0"/>
          <w:sz w:val="32"/>
          <w:szCs w:val="32"/>
        </w:rPr>
        <w:t>”</w:t>
      </w:r>
      <w:r>
        <w:rPr>
          <w:rFonts w:hint="eastAsia" w:ascii="仿宋_GB2312" w:hAnsi="微软雅黑" w:eastAsia="仿宋_GB2312" w:cs="宋体"/>
          <w:color w:val="000000"/>
          <w:kern w:val="0"/>
          <w:sz w:val="32"/>
          <w:szCs w:val="32"/>
        </w:rPr>
        <w:t>的原则开展工作。制定《龙城街道信息工作四项制度（试行）》，提高街道信息工作水平，保证街道党政信息全面收集和向上级报送，为街道发展营造良好的舆论氛围。制定《信息保密审查制度》，认真落实保密审查的领导分管、部门负责、专人实施工作机制。街道在政府信息公开前，按照信息</w:t>
      </w:r>
      <w:r>
        <w:rPr>
          <w:rFonts w:eastAsia="微软雅黑"/>
          <w:color w:val="000000"/>
          <w:kern w:val="0"/>
          <w:sz w:val="32"/>
          <w:szCs w:val="32"/>
        </w:rPr>
        <w:t>“</w:t>
      </w:r>
      <w:r>
        <w:rPr>
          <w:rFonts w:hint="eastAsia" w:ascii="仿宋_GB2312" w:hAnsi="微软雅黑" w:eastAsia="仿宋_GB2312" w:cs="宋体"/>
          <w:color w:val="000000"/>
          <w:kern w:val="0"/>
          <w:sz w:val="32"/>
          <w:szCs w:val="32"/>
        </w:rPr>
        <w:t>填报、初审、复审、复核、公开</w:t>
      </w:r>
      <w:r>
        <w:rPr>
          <w:rFonts w:eastAsia="微软雅黑"/>
          <w:color w:val="000000"/>
          <w:kern w:val="0"/>
          <w:sz w:val="32"/>
          <w:szCs w:val="32"/>
        </w:rPr>
        <w:t>”</w:t>
      </w:r>
      <w:r>
        <w:rPr>
          <w:rFonts w:hint="eastAsia" w:ascii="仿宋_GB2312" w:hAnsi="微软雅黑" w:eastAsia="仿宋_GB2312" w:cs="宋体"/>
          <w:color w:val="000000"/>
          <w:kern w:val="0"/>
          <w:sz w:val="32"/>
          <w:szCs w:val="32"/>
        </w:rPr>
        <w:t>的</w:t>
      </w:r>
      <w:r>
        <w:rPr>
          <w:rFonts w:eastAsia="微软雅黑"/>
          <w:color w:val="000000"/>
          <w:kern w:val="0"/>
          <w:sz w:val="32"/>
          <w:szCs w:val="32"/>
        </w:rPr>
        <w:t>“</w:t>
      </w:r>
      <w:r>
        <w:rPr>
          <w:rFonts w:hint="eastAsia" w:ascii="仿宋_GB2312" w:hAnsi="微软雅黑" w:eastAsia="仿宋_GB2312" w:cs="宋体"/>
          <w:color w:val="000000"/>
          <w:kern w:val="0"/>
          <w:sz w:val="32"/>
          <w:szCs w:val="32"/>
        </w:rPr>
        <w:t>五步曲</w:t>
      </w:r>
      <w:r>
        <w:rPr>
          <w:rFonts w:eastAsia="微软雅黑"/>
          <w:color w:val="000000"/>
          <w:kern w:val="0"/>
          <w:sz w:val="32"/>
          <w:szCs w:val="32"/>
        </w:rPr>
        <w:t>”</w:t>
      </w:r>
      <w:r>
        <w:rPr>
          <w:rFonts w:hint="eastAsia" w:ascii="仿宋_GB2312" w:hAnsi="微软雅黑" w:eastAsia="仿宋_GB2312" w:cs="宋体"/>
          <w:color w:val="000000"/>
          <w:kern w:val="0"/>
          <w:sz w:val="32"/>
          <w:szCs w:val="32"/>
        </w:rPr>
        <w:t>进行保密审查，坚持</w:t>
      </w:r>
      <w:r>
        <w:rPr>
          <w:rFonts w:eastAsia="微软雅黑"/>
          <w:color w:val="000000"/>
          <w:kern w:val="0"/>
          <w:sz w:val="32"/>
          <w:szCs w:val="32"/>
        </w:rPr>
        <w:t>“</w:t>
      </w:r>
      <w:r>
        <w:rPr>
          <w:rFonts w:hint="eastAsia" w:ascii="仿宋_GB2312" w:hAnsi="微软雅黑" w:eastAsia="仿宋_GB2312" w:cs="宋体"/>
          <w:color w:val="000000"/>
          <w:kern w:val="0"/>
          <w:sz w:val="32"/>
          <w:szCs w:val="32"/>
        </w:rPr>
        <w:t>以公开为原则，以不公开为例外</w:t>
      </w:r>
      <w:r>
        <w:rPr>
          <w:rFonts w:eastAsia="微软雅黑"/>
          <w:color w:val="000000"/>
          <w:kern w:val="0"/>
          <w:sz w:val="32"/>
          <w:szCs w:val="32"/>
        </w:rPr>
        <w:t>”</w:t>
      </w:r>
      <w:r>
        <w:rPr>
          <w:rFonts w:hint="eastAsia" w:ascii="仿宋_GB2312" w:hAnsi="微软雅黑" w:eastAsia="仿宋_GB2312" w:cs="宋体"/>
          <w:color w:val="000000"/>
          <w:kern w:val="0"/>
          <w:sz w:val="32"/>
          <w:szCs w:val="32"/>
        </w:rPr>
        <w:t>。建立政府信息发布协调机制、考核制度、社会评议制度和责任追究等制度。不断巩固和完善</w:t>
      </w:r>
      <w:r>
        <w:rPr>
          <w:rFonts w:eastAsia="微软雅黑"/>
          <w:color w:val="000000"/>
          <w:kern w:val="0"/>
          <w:sz w:val="32"/>
          <w:szCs w:val="32"/>
        </w:rPr>
        <w:t>“</w:t>
      </w:r>
      <w:r>
        <w:rPr>
          <w:rFonts w:hint="eastAsia" w:ascii="仿宋_GB2312" w:hAnsi="微软雅黑" w:eastAsia="仿宋_GB2312" w:cs="宋体"/>
          <w:color w:val="000000"/>
          <w:kern w:val="0"/>
          <w:sz w:val="32"/>
          <w:szCs w:val="32"/>
        </w:rPr>
        <w:t>阳光政府四项制度</w:t>
      </w:r>
      <w:r>
        <w:rPr>
          <w:rFonts w:eastAsia="微软雅黑"/>
          <w:color w:val="000000"/>
          <w:kern w:val="0"/>
          <w:sz w:val="32"/>
          <w:szCs w:val="32"/>
        </w:rPr>
        <w:t>”</w:t>
      </w:r>
      <w:r>
        <w:rPr>
          <w:rFonts w:hint="eastAsia" w:ascii="仿宋_GB2312" w:hAnsi="微软雅黑" w:eastAsia="仿宋_GB2312" w:cs="宋体"/>
          <w:color w:val="000000"/>
          <w:kern w:val="0"/>
          <w:sz w:val="32"/>
          <w:szCs w:val="32"/>
        </w:rPr>
        <w:t>建设，建立完善了重大事项集体决策制度、重大决策事项社会听证和公示制度、重大决策专家咨询制度等，推行行政决策公开，完善重大行政决策程序，</w:t>
      </w:r>
      <w:r>
        <w:rPr>
          <w:rFonts w:hint="eastAsia" w:ascii="仿宋_GB2312" w:hAnsi="微软雅黑" w:eastAsia="仿宋_GB2312" w:cs="宋体"/>
          <w:color w:val="000000"/>
          <w:kern w:val="0"/>
          <w:sz w:val="32"/>
          <w:szCs w:val="32"/>
          <w:shd w:val="clear" w:color="auto" w:fill="FFFFFF"/>
        </w:rPr>
        <w:t>领导班子在对重要问题、重大事项的决策过程中，按照</w:t>
      </w:r>
      <w:r>
        <w:rPr>
          <w:rFonts w:eastAsia="微软雅黑"/>
          <w:color w:val="000000"/>
          <w:kern w:val="0"/>
          <w:sz w:val="32"/>
          <w:szCs w:val="32"/>
          <w:shd w:val="clear" w:color="auto" w:fill="FFFFFF"/>
        </w:rPr>
        <w:t>“</w:t>
      </w:r>
      <w:r>
        <w:rPr>
          <w:rFonts w:hint="eastAsia" w:ascii="仿宋_GB2312" w:hAnsi="微软雅黑" w:eastAsia="仿宋_GB2312" w:cs="宋体"/>
          <w:color w:val="000000"/>
          <w:kern w:val="0"/>
          <w:sz w:val="32"/>
          <w:szCs w:val="32"/>
          <w:shd w:val="clear" w:color="auto" w:fill="FFFFFF"/>
        </w:rPr>
        <w:t>集体领导、民主集中、会议决定</w:t>
      </w:r>
      <w:r>
        <w:rPr>
          <w:rFonts w:eastAsia="微软雅黑"/>
          <w:color w:val="000000"/>
          <w:kern w:val="0"/>
          <w:sz w:val="32"/>
          <w:szCs w:val="32"/>
          <w:shd w:val="clear" w:color="auto" w:fill="FFFFFF"/>
        </w:rPr>
        <w:t>”</w:t>
      </w:r>
      <w:r>
        <w:rPr>
          <w:rFonts w:hint="eastAsia" w:ascii="仿宋_GB2312" w:hAnsi="微软雅黑" w:eastAsia="仿宋_GB2312" w:cs="宋体"/>
          <w:color w:val="000000"/>
          <w:kern w:val="0"/>
          <w:sz w:val="32"/>
          <w:szCs w:val="32"/>
          <w:shd w:val="clear" w:color="auto" w:fill="FFFFFF"/>
        </w:rPr>
        <w:t>的原则进行，</w:t>
      </w:r>
      <w:r>
        <w:rPr>
          <w:rFonts w:hint="eastAsia" w:ascii="仿宋_GB2312" w:hAnsi="微软雅黑" w:eastAsia="仿宋_GB2312" w:cs="宋体"/>
          <w:color w:val="000000"/>
          <w:kern w:val="0"/>
          <w:sz w:val="32"/>
          <w:szCs w:val="32"/>
        </w:rPr>
        <w:t>并将决策过程和结果进行公开，并反馈和公布意见采纳情况。在《政府信息公开指南》中明确了依申请公开的受理机构，并公布了办公时间、地点、依申请公开的受理、审核、处理、答复等内容。街道本年度未收到任何法人或群众以书面形式提出的公开申请。</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二、主动公开政府信息情况</w:t>
      </w:r>
    </w:p>
    <w:tbl>
      <w:tblPr>
        <w:tblStyle w:val="2"/>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hint="default" w:ascii="Times New Roman" w:hAnsi="Times New Roman" w:eastAsia="宋体" w:cs="Times New Roman"/>
                <w:color w:val="000000"/>
                <w:kern w:val="0"/>
                <w:sz w:val="24"/>
                <w:szCs w:val="24"/>
                <w:lang w:val="en-US" w:eastAsia="zh-CN"/>
              </w:rPr>
            </w:pPr>
            <w:r>
              <w:rPr>
                <w:rFonts w:hint="eastAsia" w:hAnsi="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cs="Times New Roman"/>
                <w:color w:val="000000"/>
                <w:kern w:val="0"/>
                <w:szCs w:val="21"/>
                <w:lang w:val="en-US" w:eastAsia="zh-CN"/>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hint="default" w:ascii="Times New Roman" w:hAnsi="Times New Roman" w:eastAsia="宋体" w:cs="Times New Roman"/>
                <w:color w:val="000000"/>
                <w:kern w:val="0"/>
                <w:sz w:val="24"/>
                <w:szCs w:val="24"/>
                <w:lang w:val="en-US" w:eastAsia="zh-CN"/>
              </w:rPr>
            </w:pPr>
            <w:r>
              <w:rPr>
                <w:rFonts w:hint="eastAsia" w:hAnsi="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Cs w:val="21"/>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cs="Times New Roman"/>
                <w:color w:val="000000"/>
                <w:kern w:val="0"/>
                <w:szCs w:val="21"/>
                <w:lang w:val="en-US" w:eastAsia="zh-CN"/>
              </w:rPr>
              <w:t>0</w:t>
            </w:r>
            <w:r>
              <w:rPr>
                <w:rFonts w:ascii="Times New Roman" w:hAnsi="Times New Roman" w:eastAsia="宋体" w:cs="Times New Roman"/>
                <w:color w:val="000000"/>
                <w:kern w:val="0"/>
                <w:szCs w:val="21"/>
              </w:rPr>
              <w:t>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hAnsi="宋体" w:cs="Times New Roman"/>
                <w:color w:val="000000"/>
                <w:kern w:val="0"/>
                <w:sz w:val="20"/>
                <w:szCs w:val="20"/>
                <w:lang w:val="en-US" w:eastAsia="zh-CN"/>
              </w:rPr>
              <w:t>0</w:t>
            </w:r>
            <w:r>
              <w:rPr>
                <w:rFonts w:ascii="Times New Roman" w:hAnsi="宋体"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hint="eastAsia" w:hAnsi="宋体" w:cs="Times New Roman"/>
                <w:color w:val="000000"/>
                <w:kern w:val="0"/>
                <w:sz w:val="20"/>
                <w:szCs w:val="20"/>
                <w:lang w:val="en-US" w:eastAsia="zh-CN"/>
              </w:rPr>
              <w:t>0</w:t>
            </w:r>
            <w:r>
              <w:rPr>
                <w:rFonts w:ascii="Times New Roman" w:hAnsi="宋体"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40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spacing w:line="400" w:lineRule="exact"/>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0</w:t>
            </w:r>
          </w:p>
        </w:tc>
      </w:tr>
    </w:tbl>
    <w:p>
      <w:pPr>
        <w:spacing w:line="560" w:lineRule="exact"/>
        <w:ind w:firstLine="640" w:firstLineChars="200"/>
        <w:rPr>
          <w:rFonts w:hint="eastAsia" w:ascii="黑体" w:hAnsi="黑体" w:eastAsia="黑体"/>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三、收到和处理政府信息公开申请情况</w:t>
      </w:r>
    </w:p>
    <w:tbl>
      <w:tblPr>
        <w:tblStyle w:val="2"/>
        <w:tblW w:w="10092" w:type="dxa"/>
        <w:jc w:val="center"/>
        <w:tblInd w:w="0" w:type="dxa"/>
        <w:tblLayout w:type="fixed"/>
        <w:tblCellMar>
          <w:top w:w="0" w:type="dxa"/>
          <w:left w:w="0" w:type="dxa"/>
          <w:bottom w:w="0" w:type="dxa"/>
          <w:right w:w="0" w:type="dxa"/>
        </w:tblCellMar>
      </w:tblPr>
      <w:tblGrid>
        <w:gridCol w:w="751"/>
        <w:gridCol w:w="714"/>
        <w:gridCol w:w="3836"/>
        <w:gridCol w:w="480"/>
        <w:gridCol w:w="665"/>
        <w:gridCol w:w="665"/>
        <w:gridCol w:w="824"/>
        <w:gridCol w:w="816"/>
        <w:gridCol w:w="684"/>
        <w:gridCol w:w="657"/>
      </w:tblGrid>
      <w:tr>
        <w:tblPrEx>
          <w:tblLayout w:type="fixed"/>
          <w:tblCellMar>
            <w:top w:w="0" w:type="dxa"/>
            <w:left w:w="0" w:type="dxa"/>
            <w:bottom w:w="0" w:type="dxa"/>
            <w:right w:w="0" w:type="dxa"/>
          </w:tblCellMar>
        </w:tblPrEx>
        <w:trPr>
          <w:jc w:val="center"/>
        </w:trPr>
        <w:tc>
          <w:tcPr>
            <w:tcW w:w="5301"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楷体" w:eastAsia="楷体" w:cs="Times New Roman"/>
                <w:color w:val="000000"/>
                <w:kern w:val="0"/>
                <w:sz w:val="20"/>
                <w:szCs w:val="20"/>
              </w:rPr>
              <w:t>（本列数据的勾稽关系为：第一项加第二项之和，等于第三项加第四项之和）</w:t>
            </w:r>
          </w:p>
        </w:tc>
        <w:tc>
          <w:tcPr>
            <w:tcW w:w="4791"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申请人情况</w:t>
            </w:r>
          </w:p>
        </w:tc>
      </w:tr>
      <w:tr>
        <w:tblPrEx>
          <w:tblLayout w:type="fixed"/>
          <w:tblCellMar>
            <w:top w:w="0" w:type="dxa"/>
            <w:left w:w="0" w:type="dxa"/>
            <w:bottom w:w="0" w:type="dxa"/>
            <w:right w:w="0" w:type="dxa"/>
          </w:tblCellMar>
        </w:tblPrEx>
        <w:trPr>
          <w:jc w:val="center"/>
        </w:trPr>
        <w:tc>
          <w:tcPr>
            <w:tcW w:w="5301" w:type="dxa"/>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480"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自然人</w:t>
            </w:r>
          </w:p>
        </w:tc>
        <w:tc>
          <w:tcPr>
            <w:tcW w:w="3654"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法人或其他组织</w:t>
            </w:r>
          </w:p>
        </w:tc>
        <w:tc>
          <w:tcPr>
            <w:tcW w:w="657"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总计</w:t>
            </w:r>
          </w:p>
        </w:tc>
      </w:tr>
      <w:tr>
        <w:tblPrEx>
          <w:tblLayout w:type="fixed"/>
          <w:tblCellMar>
            <w:top w:w="0" w:type="dxa"/>
            <w:left w:w="0" w:type="dxa"/>
            <w:bottom w:w="0" w:type="dxa"/>
            <w:right w:w="0" w:type="dxa"/>
          </w:tblCellMar>
        </w:tblPrEx>
        <w:trPr>
          <w:jc w:val="center"/>
        </w:trPr>
        <w:tc>
          <w:tcPr>
            <w:tcW w:w="5301" w:type="dxa"/>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480" w:type="dxa"/>
            <w:vMerge w:val="continue"/>
            <w:tcBorders>
              <w:top w:val="nil"/>
              <w:left w:val="nil"/>
              <w:bottom w:val="single"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商业</w:t>
            </w:r>
          </w:p>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企业</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科研</w:t>
            </w:r>
          </w:p>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机构</w:t>
            </w:r>
          </w:p>
        </w:tc>
        <w:tc>
          <w:tcPr>
            <w:tcW w:w="82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社会公益组织</w:t>
            </w:r>
          </w:p>
        </w:tc>
        <w:tc>
          <w:tcPr>
            <w:tcW w:w="816"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法律服务机构</w:t>
            </w:r>
          </w:p>
        </w:tc>
        <w:tc>
          <w:tcPr>
            <w:tcW w:w="68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其他</w:t>
            </w:r>
          </w:p>
        </w:tc>
        <w:tc>
          <w:tcPr>
            <w:tcW w:w="657" w:type="dxa"/>
            <w:vMerge w:val="continue"/>
            <w:tcBorders>
              <w:top w:val="single" w:color="auto" w:sz="8" w:space="0"/>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r>
      <w:tr>
        <w:tblPrEx>
          <w:tblLayout w:type="fixed"/>
          <w:tblCellMar>
            <w:top w:w="0" w:type="dxa"/>
            <w:left w:w="0" w:type="dxa"/>
            <w:bottom w:w="0" w:type="dxa"/>
            <w:right w:w="0" w:type="dxa"/>
          </w:tblCellMar>
        </w:tblPrEx>
        <w:trPr>
          <w:jc w:val="center"/>
        </w:trPr>
        <w:tc>
          <w:tcPr>
            <w:tcW w:w="530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一、本年新收政府信息公开申请数量</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530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二、上年结转政府信息公开申请数量</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三、本年度办理结果</w:t>
            </w:r>
          </w:p>
        </w:tc>
        <w:tc>
          <w:tcPr>
            <w:tcW w:w="45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（一）予以公开</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45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（二）部分公开</w:t>
            </w:r>
            <w:r>
              <w:rPr>
                <w:rFonts w:ascii="Times New Roman" w:hAnsi="楷体" w:eastAsia="楷体" w:cs="Times New Roman"/>
                <w:color w:val="000000"/>
                <w:kern w:val="0"/>
                <w:sz w:val="20"/>
                <w:szCs w:val="20"/>
              </w:rPr>
              <w:t>（区分处理的，只计这一情形，不计其他情形）</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（三）不予公开</w:t>
            </w: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1.</w:t>
            </w:r>
            <w:r>
              <w:rPr>
                <w:rFonts w:ascii="Times New Roman" w:hAnsi="宋体" w:eastAsia="宋体" w:cs="Times New Roman"/>
                <w:color w:val="000000"/>
                <w:kern w:val="0"/>
                <w:sz w:val="20"/>
                <w:szCs w:val="20"/>
              </w:rPr>
              <w:t>属于国家秘密</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2.</w:t>
            </w:r>
            <w:r>
              <w:rPr>
                <w:rFonts w:ascii="Times New Roman" w:hAnsi="宋体" w:eastAsia="宋体" w:cs="Times New Roman"/>
                <w:color w:val="000000"/>
                <w:kern w:val="0"/>
                <w:sz w:val="20"/>
                <w:szCs w:val="20"/>
              </w:rPr>
              <w:t>其他法律行政法规禁止公开</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3.</w:t>
            </w:r>
            <w:r>
              <w:rPr>
                <w:rFonts w:ascii="Times New Roman" w:hAnsi="宋体" w:eastAsia="宋体" w:cs="Times New Roman"/>
                <w:color w:val="000000"/>
                <w:kern w:val="0"/>
                <w:sz w:val="20"/>
                <w:szCs w:val="20"/>
              </w:rPr>
              <w:t>危及</w:t>
            </w:r>
            <w:r>
              <w:rPr>
                <w:rFonts w:ascii="Times New Roman" w:hAnsi="Times New Roman" w:eastAsia="宋体" w:cs="Times New Roman"/>
                <w:color w:val="000000"/>
                <w:kern w:val="0"/>
                <w:sz w:val="20"/>
                <w:szCs w:val="20"/>
              </w:rPr>
              <w:t>“</w:t>
            </w:r>
            <w:r>
              <w:rPr>
                <w:rFonts w:ascii="Times New Roman" w:hAnsi="宋体" w:eastAsia="宋体" w:cs="Times New Roman"/>
                <w:color w:val="000000"/>
                <w:kern w:val="0"/>
                <w:sz w:val="20"/>
                <w:szCs w:val="20"/>
              </w:rPr>
              <w:t>三安全一稳定</w:t>
            </w:r>
            <w:r>
              <w:rPr>
                <w:rFonts w:ascii="Times New Roman" w:hAnsi="Times New Roman" w:eastAsia="宋体" w:cs="Times New Roman"/>
                <w:color w:val="000000"/>
                <w:kern w:val="0"/>
                <w:sz w:val="20"/>
                <w:szCs w:val="20"/>
              </w:rPr>
              <w:t>”</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4.</w:t>
            </w:r>
            <w:r>
              <w:rPr>
                <w:rFonts w:ascii="Times New Roman" w:hAnsi="宋体" w:eastAsia="宋体" w:cs="Times New Roman"/>
                <w:color w:val="000000"/>
                <w:kern w:val="0"/>
                <w:sz w:val="20"/>
                <w:szCs w:val="20"/>
              </w:rPr>
              <w:t>保护第三方合法权益</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5.</w:t>
            </w:r>
            <w:r>
              <w:rPr>
                <w:rFonts w:ascii="Times New Roman" w:hAnsi="宋体" w:eastAsia="宋体" w:cs="Times New Roman"/>
                <w:color w:val="000000"/>
                <w:kern w:val="0"/>
                <w:sz w:val="20"/>
                <w:szCs w:val="20"/>
              </w:rPr>
              <w:t>属于三类内部事务信息</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6.</w:t>
            </w:r>
            <w:r>
              <w:rPr>
                <w:rFonts w:ascii="Times New Roman" w:hAnsi="宋体" w:eastAsia="宋体" w:cs="Times New Roman"/>
                <w:color w:val="000000"/>
                <w:kern w:val="0"/>
                <w:sz w:val="20"/>
                <w:szCs w:val="20"/>
              </w:rPr>
              <w:t>属于四类过程性信息</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7.</w:t>
            </w:r>
            <w:r>
              <w:rPr>
                <w:rFonts w:ascii="Times New Roman" w:hAnsi="宋体" w:eastAsia="宋体" w:cs="Times New Roman"/>
                <w:color w:val="000000"/>
                <w:kern w:val="0"/>
                <w:sz w:val="20"/>
                <w:szCs w:val="20"/>
              </w:rPr>
              <w:t>属于行政执法案卷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8.</w:t>
            </w:r>
            <w:r>
              <w:rPr>
                <w:rFonts w:ascii="Times New Roman" w:hAnsi="宋体" w:eastAsia="宋体" w:cs="Times New Roman"/>
                <w:color w:val="000000"/>
                <w:kern w:val="0"/>
                <w:sz w:val="20"/>
                <w:szCs w:val="20"/>
              </w:rPr>
              <w:t>属于行政查询事项</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（四）无法提供</w:t>
            </w: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1.</w:t>
            </w:r>
            <w:r>
              <w:rPr>
                <w:rFonts w:ascii="Times New Roman" w:hAnsi="宋体" w:eastAsia="宋体" w:cs="Times New Roman"/>
                <w:color w:val="000000"/>
                <w:kern w:val="0"/>
                <w:sz w:val="20"/>
                <w:szCs w:val="20"/>
              </w:rPr>
              <w:t>本机关不掌握相关政府信息</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2.</w:t>
            </w:r>
            <w:r>
              <w:rPr>
                <w:rFonts w:ascii="Times New Roman" w:hAnsi="宋体" w:eastAsia="宋体" w:cs="Times New Roman"/>
                <w:color w:val="000000"/>
                <w:kern w:val="0"/>
                <w:sz w:val="20"/>
                <w:szCs w:val="20"/>
              </w:rPr>
              <w:t>没有现成信息需要另行制作</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3.</w:t>
            </w:r>
            <w:r>
              <w:rPr>
                <w:rFonts w:ascii="Times New Roman" w:hAnsi="宋体" w:eastAsia="宋体" w:cs="Times New Roman"/>
                <w:color w:val="000000"/>
                <w:kern w:val="0"/>
                <w:sz w:val="20"/>
                <w:szCs w:val="20"/>
              </w:rPr>
              <w:t>补正后申请内容仍不明确</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（五）不予处理</w:t>
            </w: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1.</w:t>
            </w:r>
            <w:r>
              <w:rPr>
                <w:rFonts w:ascii="Times New Roman" w:hAnsi="宋体" w:eastAsia="宋体" w:cs="Times New Roman"/>
                <w:color w:val="000000"/>
                <w:kern w:val="0"/>
                <w:sz w:val="20"/>
                <w:szCs w:val="20"/>
              </w:rPr>
              <w:t>信访举报投诉类申请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2.</w:t>
            </w:r>
            <w:r>
              <w:rPr>
                <w:rFonts w:ascii="Times New Roman" w:hAnsi="宋体" w:eastAsia="宋体" w:cs="Times New Roman"/>
                <w:color w:val="000000"/>
                <w:kern w:val="0"/>
                <w:sz w:val="20"/>
                <w:szCs w:val="20"/>
              </w:rPr>
              <w:t>重复申请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3.</w:t>
            </w:r>
            <w:r>
              <w:rPr>
                <w:rFonts w:ascii="Times New Roman" w:hAnsi="宋体" w:eastAsia="宋体" w:cs="Times New Roman"/>
                <w:color w:val="000000"/>
                <w:kern w:val="0"/>
                <w:sz w:val="20"/>
                <w:szCs w:val="20"/>
              </w:rPr>
              <w:t>要求提供公开出版物</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4.</w:t>
            </w:r>
            <w:r>
              <w:rPr>
                <w:rFonts w:ascii="Times New Roman" w:hAnsi="宋体" w:eastAsia="宋体" w:cs="Times New Roman"/>
                <w:color w:val="000000"/>
                <w:kern w:val="0"/>
                <w:sz w:val="20"/>
                <w:szCs w:val="20"/>
              </w:rPr>
              <w:t>无正当理由大量反复申请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trHeight w:val="779" w:hRule="atLeast"/>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nil"/>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5.</w:t>
            </w:r>
            <w:r>
              <w:rPr>
                <w:rFonts w:ascii="Times New Roman" w:hAnsi="宋体" w:eastAsia="宋体" w:cs="Times New Roman"/>
                <w:color w:val="000000"/>
                <w:kern w:val="0"/>
                <w:sz w:val="20"/>
                <w:szCs w:val="20"/>
              </w:rPr>
              <w:t>要求行政机关确认或重新出具已获取信息</w:t>
            </w:r>
          </w:p>
        </w:tc>
        <w:tc>
          <w:tcPr>
            <w:tcW w:w="480"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（六）其他处理</w:t>
            </w: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1.</w:t>
            </w:r>
            <w:r>
              <w:rPr>
                <w:rFonts w:ascii="Times New Roman" w:hAnsi="宋体" w:eastAsia="宋体" w:cs="Times New Roman"/>
                <w:color w:val="000000"/>
                <w:kern w:val="0"/>
                <w:sz w:val="20"/>
                <w:szCs w:val="20"/>
              </w:rPr>
              <w:t>申请人无正当理由逾期不补正、行政机关不再处理其政府信息公开申请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inset" w:color="auto" w:sz="8" w:space="0"/>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2.</w:t>
            </w:r>
            <w:r>
              <w:rPr>
                <w:rFonts w:ascii="Times New Roman" w:hAnsi="宋体" w:eastAsia="宋体" w:cs="Times New Roman"/>
                <w:color w:val="000000"/>
                <w:kern w:val="0"/>
                <w:sz w:val="20"/>
                <w:szCs w:val="20"/>
              </w:rPr>
              <w:t>申请人逾期未按收费通知要求缴纳费用、行政机关不再处理其政府信息公开申请</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714" w:type="dxa"/>
            <w:vMerge w:val="continue"/>
            <w:tcBorders>
              <w:top w:val="inset" w:color="auto" w:sz="8" w:space="0"/>
              <w:left w:val="nil"/>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383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0"/>
                <w:szCs w:val="20"/>
              </w:rPr>
              <w:t>3.</w:t>
            </w:r>
            <w:r>
              <w:rPr>
                <w:rFonts w:ascii="Times New Roman" w:hAnsi="宋体" w:eastAsia="宋体" w:cs="Times New Roman"/>
                <w:color w:val="000000"/>
                <w:kern w:val="0"/>
                <w:sz w:val="20"/>
                <w:szCs w:val="20"/>
              </w:rPr>
              <w:t>其他</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751" w:type="dxa"/>
            <w:vMerge w:val="continue"/>
            <w:tcBorders>
              <w:top w:val="nil"/>
              <w:left w:val="single" w:color="auto" w:sz="8" w:space="0"/>
              <w:bottom w:val="inset" w:color="auto" w:sz="8" w:space="0"/>
              <w:right w:val="single" w:color="auto" w:sz="8" w:space="0"/>
            </w:tcBorders>
            <w:noWrap w:val="0"/>
            <w:vAlign w:val="center"/>
          </w:tcPr>
          <w:p>
            <w:pPr>
              <w:widowControl/>
              <w:spacing w:line="360" w:lineRule="exact"/>
              <w:jc w:val="center"/>
              <w:rPr>
                <w:rFonts w:ascii="Times New Roman" w:hAnsi="Times New Roman" w:eastAsia="宋体" w:cs="Times New Roman"/>
                <w:color w:val="000000"/>
                <w:kern w:val="0"/>
                <w:sz w:val="24"/>
                <w:szCs w:val="24"/>
              </w:rPr>
            </w:pPr>
          </w:p>
        </w:tc>
        <w:tc>
          <w:tcPr>
            <w:tcW w:w="4550"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（七）总计</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530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0"/>
                <w:szCs w:val="20"/>
              </w:rPr>
              <w:t>四、结转下年度继续办理</w:t>
            </w:r>
          </w:p>
        </w:tc>
        <w:tc>
          <w:tcPr>
            <w:tcW w:w="48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6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2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8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8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c>
          <w:tcPr>
            <w:tcW w:w="65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360" w:lineRule="exact"/>
              <w:jc w:val="center"/>
              <w:rPr>
                <w:rFonts w:hint="eastAsia" w:ascii="Times New Roman" w:hAnsi="Times New Roman" w:eastAsia="宋体" w:cs="Times New Roman"/>
                <w:color w:val="000000"/>
                <w:kern w:val="0"/>
                <w:sz w:val="24"/>
                <w:szCs w:val="24"/>
                <w:lang w:val="en-US" w:eastAsia="zh-CN" w:bidi="ar-SA"/>
              </w:rPr>
            </w:pPr>
            <w:r>
              <w:rPr>
                <w:rFonts w:hint="eastAsia" w:cs="Times New Roman"/>
                <w:color w:val="000000"/>
                <w:kern w:val="0"/>
                <w:sz w:val="20"/>
                <w:szCs w:val="20"/>
                <w:lang w:val="en-US" w:eastAsia="zh-CN"/>
              </w:rPr>
              <w:t>0</w:t>
            </w:r>
          </w:p>
        </w:tc>
      </w:tr>
    </w:tbl>
    <w:p>
      <w:pPr>
        <w:spacing w:line="560" w:lineRule="exact"/>
        <w:rPr>
          <w:rFonts w:hint="eastAsia"/>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四、政府信息公开行政复议、行政诉讼情况</w:t>
      </w:r>
    </w:p>
    <w:tbl>
      <w:tblPr>
        <w:tblStyle w:val="2"/>
        <w:tblW w:w="10200" w:type="dxa"/>
        <w:jc w:val="center"/>
        <w:tblInd w:w="0" w:type="dxa"/>
        <w:tblLayout w:type="fixed"/>
        <w:tblCellMar>
          <w:top w:w="0" w:type="dxa"/>
          <w:left w:w="108" w:type="dxa"/>
          <w:bottom w:w="0" w:type="dxa"/>
          <w:right w:w="108" w:type="dxa"/>
        </w:tblCellMar>
      </w:tblPr>
      <w:tblGrid>
        <w:gridCol w:w="680"/>
        <w:gridCol w:w="680"/>
        <w:gridCol w:w="680"/>
        <w:gridCol w:w="680"/>
        <w:gridCol w:w="680"/>
        <w:gridCol w:w="678"/>
        <w:gridCol w:w="678"/>
        <w:gridCol w:w="680"/>
        <w:gridCol w:w="680"/>
        <w:gridCol w:w="680"/>
        <w:gridCol w:w="680"/>
        <w:gridCol w:w="681"/>
        <w:gridCol w:w="681"/>
        <w:gridCol w:w="681"/>
        <w:gridCol w:w="681"/>
      </w:tblGrid>
      <w:tr>
        <w:tblPrEx>
          <w:tblLayout w:type="fixed"/>
          <w:tblCellMar>
            <w:top w:w="0" w:type="dxa"/>
            <w:left w:w="108" w:type="dxa"/>
            <w:bottom w:w="0" w:type="dxa"/>
            <w:right w:w="108" w:type="dxa"/>
          </w:tblCellMar>
        </w:tblPrEx>
        <w:trPr>
          <w:trHeight w:val="702" w:hRule="atLeast"/>
          <w:jc w:val="center"/>
        </w:trPr>
        <w:tc>
          <w:tcPr>
            <w:tcW w:w="340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宋体" w:eastAsia="宋体" w:cs="Times New Roman"/>
                <w:color w:val="000000"/>
                <w:kern w:val="0"/>
                <w:sz w:val="20"/>
                <w:szCs w:val="20"/>
              </w:rPr>
              <w:t>行政复议</w:t>
            </w:r>
          </w:p>
        </w:tc>
        <w:tc>
          <w:tcPr>
            <w:tcW w:w="6800" w:type="dxa"/>
            <w:gridSpan w:val="10"/>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宋体" w:eastAsia="宋体" w:cs="Times New Roman"/>
                <w:color w:val="000000"/>
                <w:kern w:val="0"/>
                <w:sz w:val="20"/>
                <w:szCs w:val="20"/>
              </w:rPr>
              <w:t>行政诉讼</w:t>
            </w:r>
          </w:p>
        </w:tc>
      </w:tr>
      <w:tr>
        <w:tblPrEx>
          <w:tblLayout w:type="fixed"/>
          <w:tblCellMar>
            <w:top w:w="0" w:type="dxa"/>
            <w:left w:w="108" w:type="dxa"/>
            <w:bottom w:w="0" w:type="dxa"/>
            <w:right w:w="108" w:type="dxa"/>
          </w:tblCellMar>
        </w:tblPrEx>
        <w:trPr>
          <w:trHeight w:val="702"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宋体" w:eastAsia="宋体" w:cs="Times New Roman"/>
                <w:color w:val="000000"/>
                <w:kern w:val="0"/>
                <w:sz w:val="20"/>
                <w:szCs w:val="20"/>
              </w:rPr>
              <w:t>结果维持</w:t>
            </w:r>
          </w:p>
        </w:tc>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宋体" w:eastAsia="宋体" w:cs="Times New Roman"/>
                <w:color w:val="000000"/>
                <w:kern w:val="0"/>
                <w:sz w:val="20"/>
                <w:szCs w:val="20"/>
              </w:rPr>
              <w:t>结果</w:t>
            </w:r>
            <w:r>
              <w:rPr>
                <w:rFonts w:ascii="Times New Roman" w:hAnsi="Times New Roman" w:eastAsia="宋体" w:cs="Times New Roman"/>
                <w:color w:val="000000"/>
                <w:kern w:val="0"/>
                <w:sz w:val="20"/>
                <w:szCs w:val="20"/>
              </w:rPr>
              <w:br w:type="textWrapping"/>
            </w:r>
            <w:r>
              <w:rPr>
                <w:rFonts w:ascii="Times New Roman" w:hAnsi="宋体" w:eastAsia="宋体" w:cs="Times New Roman"/>
                <w:color w:val="000000"/>
                <w:kern w:val="0"/>
                <w:sz w:val="20"/>
                <w:szCs w:val="20"/>
              </w:rPr>
              <w:t>纠正</w:t>
            </w:r>
          </w:p>
        </w:tc>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宋体" w:eastAsia="宋体" w:cs="Times New Roman"/>
                <w:color w:val="000000"/>
                <w:kern w:val="0"/>
                <w:sz w:val="20"/>
                <w:szCs w:val="20"/>
              </w:rPr>
              <w:t>其他</w:t>
            </w:r>
            <w:r>
              <w:rPr>
                <w:rFonts w:ascii="Times New Roman" w:hAnsi="Times New Roman" w:eastAsia="宋体" w:cs="Times New Roman"/>
                <w:color w:val="000000"/>
                <w:kern w:val="0"/>
                <w:sz w:val="20"/>
                <w:szCs w:val="20"/>
              </w:rPr>
              <w:br w:type="textWrapping"/>
            </w:r>
            <w:r>
              <w:rPr>
                <w:rFonts w:ascii="Times New Roman" w:hAnsi="宋体" w:eastAsia="宋体" w:cs="Times New Roman"/>
                <w:color w:val="000000"/>
                <w:kern w:val="0"/>
                <w:sz w:val="20"/>
                <w:szCs w:val="20"/>
              </w:rPr>
              <w:t>结果</w:t>
            </w:r>
          </w:p>
        </w:tc>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宋体" w:eastAsia="宋体" w:cs="Times New Roman"/>
                <w:color w:val="000000"/>
                <w:kern w:val="0"/>
                <w:sz w:val="20"/>
                <w:szCs w:val="20"/>
              </w:rPr>
              <w:t>尚未</w:t>
            </w:r>
            <w:r>
              <w:rPr>
                <w:rFonts w:ascii="Times New Roman" w:hAnsi="Times New Roman" w:eastAsia="宋体" w:cs="Times New Roman"/>
                <w:color w:val="000000"/>
                <w:kern w:val="0"/>
                <w:sz w:val="20"/>
                <w:szCs w:val="20"/>
              </w:rPr>
              <w:br w:type="textWrapping"/>
            </w:r>
            <w:r>
              <w:rPr>
                <w:rFonts w:ascii="Times New Roman" w:hAnsi="宋体" w:eastAsia="宋体" w:cs="Times New Roman"/>
                <w:color w:val="000000"/>
                <w:kern w:val="0"/>
                <w:sz w:val="20"/>
                <w:szCs w:val="20"/>
              </w:rPr>
              <w:t>审结</w:t>
            </w:r>
          </w:p>
        </w:tc>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宋体" w:eastAsia="宋体" w:cs="Times New Roman"/>
                <w:color w:val="000000"/>
                <w:kern w:val="0"/>
                <w:sz w:val="20"/>
                <w:szCs w:val="20"/>
              </w:rPr>
              <w:t>总计</w:t>
            </w:r>
          </w:p>
        </w:tc>
        <w:tc>
          <w:tcPr>
            <w:tcW w:w="3396"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宋体" w:eastAsia="宋体" w:cs="Times New Roman"/>
                <w:color w:val="000000"/>
                <w:kern w:val="0"/>
                <w:sz w:val="20"/>
                <w:szCs w:val="20"/>
              </w:rPr>
              <w:t>未经复议直接起诉</w:t>
            </w:r>
          </w:p>
        </w:tc>
        <w:tc>
          <w:tcPr>
            <w:tcW w:w="3404"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宋体" w:eastAsia="宋体" w:cs="Times New Roman"/>
                <w:color w:val="000000"/>
                <w:kern w:val="0"/>
                <w:sz w:val="20"/>
                <w:szCs w:val="20"/>
              </w:rPr>
              <w:t>复议后起诉</w:t>
            </w:r>
          </w:p>
        </w:tc>
      </w:tr>
      <w:tr>
        <w:tblPrEx>
          <w:tblLayout w:type="fixed"/>
          <w:tblCellMar>
            <w:top w:w="0" w:type="dxa"/>
            <w:left w:w="108" w:type="dxa"/>
            <w:bottom w:w="0" w:type="dxa"/>
            <w:right w:w="108" w:type="dxa"/>
          </w:tblCellMar>
        </w:tblPrEx>
        <w:trPr>
          <w:trHeight w:val="1999"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p>
        </w:tc>
        <w:tc>
          <w:tcPr>
            <w:tcW w:w="67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Times New Roman" w:eastAsia="宋体" w:cs="Times New Roman"/>
                <w:color w:val="000000"/>
                <w:kern w:val="0"/>
                <w:sz w:val="20"/>
                <w:szCs w:val="20"/>
              </w:rPr>
              <w:t>结果</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维持</w:t>
            </w:r>
          </w:p>
        </w:tc>
        <w:tc>
          <w:tcPr>
            <w:tcW w:w="67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Times New Roman" w:eastAsia="宋体" w:cs="Times New Roman"/>
                <w:color w:val="000000"/>
                <w:kern w:val="0"/>
                <w:sz w:val="20"/>
                <w:szCs w:val="20"/>
              </w:rPr>
              <w:t>结果</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纠正</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Times New Roman" w:eastAsia="宋体" w:cs="Times New Roman"/>
                <w:color w:val="000000"/>
                <w:kern w:val="0"/>
                <w:sz w:val="20"/>
                <w:szCs w:val="20"/>
              </w:rPr>
              <w:t>其他</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结果</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Times New Roman" w:eastAsia="宋体" w:cs="Times New Roman"/>
                <w:color w:val="000000"/>
                <w:kern w:val="0"/>
                <w:sz w:val="20"/>
                <w:szCs w:val="20"/>
              </w:rPr>
              <w:t>尚未</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审结</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Times New Roman" w:eastAsia="宋体" w:cs="Times New Roman"/>
                <w:color w:val="000000"/>
                <w:kern w:val="0"/>
                <w:sz w:val="20"/>
                <w:szCs w:val="20"/>
              </w:rPr>
              <w:t>总计</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Times New Roman" w:eastAsia="宋体" w:cs="Times New Roman"/>
                <w:color w:val="000000"/>
                <w:kern w:val="0"/>
                <w:sz w:val="20"/>
                <w:szCs w:val="20"/>
              </w:rPr>
              <w:t>结果</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维持</w:t>
            </w:r>
          </w:p>
        </w:tc>
        <w:tc>
          <w:tcPr>
            <w:tcW w:w="681"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Times New Roman" w:eastAsia="宋体" w:cs="Times New Roman"/>
                <w:color w:val="000000"/>
                <w:kern w:val="0"/>
                <w:sz w:val="20"/>
                <w:szCs w:val="20"/>
              </w:rPr>
              <w:t>结果</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纠正</w:t>
            </w:r>
          </w:p>
        </w:tc>
        <w:tc>
          <w:tcPr>
            <w:tcW w:w="681"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Times New Roman" w:eastAsia="宋体" w:cs="Times New Roman"/>
                <w:color w:val="000000"/>
                <w:kern w:val="0"/>
                <w:sz w:val="20"/>
                <w:szCs w:val="20"/>
              </w:rPr>
              <w:t>其他</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结果</w:t>
            </w:r>
          </w:p>
        </w:tc>
        <w:tc>
          <w:tcPr>
            <w:tcW w:w="681"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Times New Roman" w:eastAsia="宋体" w:cs="Times New Roman"/>
                <w:color w:val="000000"/>
                <w:kern w:val="0"/>
                <w:sz w:val="20"/>
                <w:szCs w:val="20"/>
              </w:rPr>
              <w:t>尚未</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审结</w:t>
            </w:r>
          </w:p>
        </w:tc>
        <w:tc>
          <w:tcPr>
            <w:tcW w:w="681"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bCs/>
                <w:color w:val="000000"/>
                <w:kern w:val="0"/>
                <w:sz w:val="28"/>
                <w:szCs w:val="28"/>
              </w:rPr>
            </w:pPr>
            <w:r>
              <w:rPr>
                <w:rFonts w:ascii="Times New Roman" w:hAnsi="Times New Roman" w:eastAsia="宋体" w:cs="Times New Roman"/>
                <w:color w:val="000000"/>
                <w:kern w:val="0"/>
                <w:sz w:val="20"/>
                <w:szCs w:val="20"/>
              </w:rPr>
              <w:t>总计</w:t>
            </w:r>
          </w:p>
        </w:tc>
      </w:tr>
      <w:tr>
        <w:tblPrEx>
          <w:tblLayout w:type="fixed"/>
          <w:tblCellMar>
            <w:top w:w="0" w:type="dxa"/>
            <w:left w:w="108" w:type="dxa"/>
            <w:bottom w:w="0" w:type="dxa"/>
            <w:right w:w="108" w:type="dxa"/>
          </w:tblCellMar>
        </w:tblPrEx>
        <w:trPr>
          <w:trHeight w:val="799"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color w:val="000000"/>
                <w:kern w:val="0"/>
                <w:sz w:val="22"/>
                <w:lang w:val="en-US" w:eastAsia="zh-CN"/>
              </w:rPr>
            </w:pPr>
            <w:r>
              <w:rPr>
                <w:rFonts w:hint="eastAsia" w:cs="Times New Roman"/>
                <w:color w:val="000000"/>
                <w:kern w:val="0"/>
                <w:sz w:val="20"/>
                <w:szCs w:val="20"/>
                <w:lang w:val="en-US" w:eastAsia="zh-CN"/>
              </w:rPr>
              <w:t>0</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color w:val="000000"/>
                <w:kern w:val="0"/>
                <w:sz w:val="22"/>
                <w:lang w:val="en-US" w:eastAsia="zh-CN"/>
              </w:rPr>
            </w:pPr>
            <w:r>
              <w:rPr>
                <w:rFonts w:hint="eastAsia" w:cs="Times New Roman"/>
                <w:color w:val="000000"/>
                <w:kern w:val="0"/>
                <w:sz w:val="20"/>
                <w:szCs w:val="20"/>
                <w:lang w:val="en-US" w:eastAsia="zh-CN"/>
              </w:rPr>
              <w:t>0</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color w:val="000000"/>
                <w:kern w:val="0"/>
                <w:sz w:val="22"/>
              </w:rPr>
            </w:pPr>
            <w:r>
              <w:rPr>
                <w:rFonts w:hint="eastAsia" w:cs="Times New Roman"/>
                <w:color w:val="000000"/>
                <w:kern w:val="0"/>
                <w:sz w:val="20"/>
                <w:szCs w:val="20"/>
                <w:lang w:val="en-US" w:eastAsia="zh-CN"/>
              </w:rPr>
              <w:t>0</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color w:val="000000"/>
                <w:kern w:val="0"/>
                <w:sz w:val="22"/>
              </w:rPr>
            </w:pPr>
            <w:r>
              <w:rPr>
                <w:rFonts w:hint="eastAsia" w:cs="Times New Roman"/>
                <w:color w:val="000000"/>
                <w:kern w:val="0"/>
                <w:sz w:val="20"/>
                <w:szCs w:val="20"/>
                <w:lang w:val="en-US" w:eastAsia="zh-CN"/>
              </w:rPr>
              <w:t>0</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color w:val="000000"/>
                <w:kern w:val="0"/>
                <w:sz w:val="22"/>
              </w:rPr>
            </w:pPr>
            <w:r>
              <w:rPr>
                <w:rFonts w:hint="eastAsia" w:cs="Times New Roman"/>
                <w:color w:val="000000"/>
                <w:kern w:val="0"/>
                <w:sz w:val="20"/>
                <w:szCs w:val="20"/>
                <w:lang w:val="en-US" w:eastAsia="zh-CN"/>
              </w:rPr>
              <w:t>0</w:t>
            </w:r>
          </w:p>
        </w:tc>
        <w:tc>
          <w:tcPr>
            <w:tcW w:w="67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color w:val="000000"/>
                <w:kern w:val="0"/>
                <w:sz w:val="22"/>
              </w:rPr>
            </w:pPr>
            <w:r>
              <w:rPr>
                <w:rFonts w:hint="eastAsia" w:cs="Times New Roman"/>
                <w:color w:val="000000"/>
                <w:kern w:val="0"/>
                <w:sz w:val="20"/>
                <w:szCs w:val="20"/>
                <w:lang w:val="en-US" w:eastAsia="zh-CN"/>
              </w:rPr>
              <w:t>0</w:t>
            </w:r>
          </w:p>
        </w:tc>
        <w:tc>
          <w:tcPr>
            <w:tcW w:w="678"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color w:val="000000"/>
                <w:kern w:val="0"/>
                <w:sz w:val="22"/>
              </w:rPr>
            </w:pPr>
            <w:r>
              <w:rPr>
                <w:rFonts w:hint="eastAsia" w:cs="Times New Roman"/>
                <w:color w:val="000000"/>
                <w:kern w:val="0"/>
                <w:sz w:val="20"/>
                <w:szCs w:val="20"/>
                <w:lang w:val="en-US" w:eastAsia="zh-CN"/>
              </w:rPr>
              <w:t>0</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color w:val="000000"/>
                <w:kern w:val="0"/>
                <w:sz w:val="22"/>
              </w:rPr>
            </w:pPr>
            <w:r>
              <w:rPr>
                <w:rFonts w:hint="eastAsia" w:cs="Times New Roman"/>
                <w:color w:val="000000"/>
                <w:kern w:val="0"/>
                <w:sz w:val="20"/>
                <w:szCs w:val="20"/>
                <w:lang w:val="en-US" w:eastAsia="zh-CN"/>
              </w:rPr>
              <w:t>0</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color w:val="000000"/>
                <w:kern w:val="0"/>
                <w:sz w:val="22"/>
              </w:rPr>
            </w:pPr>
            <w:r>
              <w:rPr>
                <w:rFonts w:hint="eastAsia" w:cs="Times New Roman"/>
                <w:color w:val="000000"/>
                <w:kern w:val="0"/>
                <w:sz w:val="20"/>
                <w:szCs w:val="20"/>
                <w:lang w:val="en-US" w:eastAsia="zh-CN"/>
              </w:rPr>
              <w:t>0</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color w:val="000000"/>
                <w:kern w:val="0"/>
                <w:sz w:val="22"/>
              </w:rPr>
            </w:pPr>
            <w:r>
              <w:rPr>
                <w:rFonts w:hint="eastAsia" w:cs="Times New Roman"/>
                <w:color w:val="000000"/>
                <w:kern w:val="0"/>
                <w:sz w:val="20"/>
                <w:szCs w:val="20"/>
                <w:lang w:val="en-US" w:eastAsia="zh-CN"/>
              </w:rPr>
              <w:t>0</w:t>
            </w:r>
          </w:p>
        </w:tc>
        <w:tc>
          <w:tcPr>
            <w:tcW w:w="680" w:type="dxa"/>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b/>
                <w:color w:val="000000"/>
                <w:kern w:val="0"/>
                <w:sz w:val="22"/>
              </w:rPr>
            </w:pPr>
            <w:r>
              <w:rPr>
                <w:rFonts w:hint="eastAsia" w:cs="Times New Roman"/>
                <w:color w:val="000000"/>
                <w:kern w:val="0"/>
                <w:sz w:val="20"/>
                <w:szCs w:val="20"/>
                <w:lang w:val="en-US" w:eastAsia="zh-CN"/>
              </w:rPr>
              <w:t>0</w:t>
            </w:r>
          </w:p>
        </w:tc>
        <w:tc>
          <w:tcPr>
            <w:tcW w:w="681"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color w:val="000000"/>
                <w:kern w:val="0"/>
                <w:sz w:val="22"/>
                <w:lang w:val="en-US" w:eastAsia="zh-CN"/>
              </w:rPr>
            </w:pPr>
            <w:r>
              <w:rPr>
                <w:rFonts w:hint="eastAsia" w:cs="Times New Roman"/>
                <w:color w:val="000000"/>
                <w:kern w:val="0"/>
                <w:sz w:val="20"/>
                <w:szCs w:val="20"/>
                <w:lang w:val="en-US" w:eastAsia="zh-CN"/>
              </w:rPr>
              <w:t>0</w:t>
            </w:r>
          </w:p>
        </w:tc>
        <w:tc>
          <w:tcPr>
            <w:tcW w:w="681"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color w:val="000000"/>
                <w:kern w:val="0"/>
                <w:sz w:val="22"/>
                <w:lang w:val="en-US" w:eastAsia="zh-CN"/>
              </w:rPr>
            </w:pPr>
            <w:r>
              <w:rPr>
                <w:rFonts w:hint="eastAsia" w:cs="Times New Roman"/>
                <w:color w:val="000000"/>
                <w:kern w:val="0"/>
                <w:sz w:val="20"/>
                <w:szCs w:val="20"/>
                <w:lang w:val="en-US" w:eastAsia="zh-CN"/>
              </w:rPr>
              <w:t>0</w:t>
            </w:r>
          </w:p>
        </w:tc>
        <w:tc>
          <w:tcPr>
            <w:tcW w:w="681"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color w:val="000000"/>
                <w:kern w:val="0"/>
                <w:sz w:val="22"/>
                <w:lang w:val="en-US" w:eastAsia="zh-CN"/>
              </w:rPr>
            </w:pPr>
            <w:r>
              <w:rPr>
                <w:rFonts w:hint="eastAsia" w:cs="Times New Roman"/>
                <w:color w:val="000000"/>
                <w:kern w:val="0"/>
                <w:sz w:val="20"/>
                <w:szCs w:val="20"/>
                <w:lang w:val="en-US" w:eastAsia="zh-CN"/>
              </w:rPr>
              <w:t>0</w:t>
            </w:r>
          </w:p>
        </w:tc>
        <w:tc>
          <w:tcPr>
            <w:tcW w:w="681"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color w:val="000000"/>
                <w:kern w:val="0"/>
                <w:sz w:val="22"/>
                <w:lang w:val="en-US" w:eastAsia="zh-CN"/>
              </w:rPr>
            </w:pPr>
            <w:r>
              <w:rPr>
                <w:rFonts w:hint="eastAsia" w:ascii="宋体" w:hAnsi="宋体" w:cs="宋体"/>
                <w:b w:val="0"/>
                <w:bCs/>
                <w:color w:val="000000"/>
                <w:kern w:val="0"/>
                <w:sz w:val="22"/>
                <w:lang w:val="en-US" w:eastAsia="zh-CN"/>
              </w:rPr>
              <w:t>0</w:t>
            </w:r>
          </w:p>
        </w:tc>
      </w:tr>
    </w:tbl>
    <w:p>
      <w:pPr>
        <w:spacing w:line="560" w:lineRule="exact"/>
        <w:rPr>
          <w:rFonts w:hint="eastAsia"/>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hAnsi="仿宋_GB2312" w:eastAsia="仿宋_GB2312"/>
          <w:sz w:val="32"/>
          <w:szCs w:val="32"/>
        </w:rPr>
      </w:pPr>
      <w:r>
        <w:rPr>
          <w:rFonts w:eastAsia="微软雅黑"/>
          <w:color w:val="000000"/>
          <w:kern w:val="0"/>
          <w:sz w:val="32"/>
          <w:szCs w:val="32"/>
        </w:rPr>
        <w:t>20</w:t>
      </w:r>
      <w:r>
        <w:rPr>
          <w:rFonts w:hint="eastAsia" w:eastAsia="微软雅黑"/>
          <w:color w:val="000000"/>
          <w:kern w:val="0"/>
          <w:sz w:val="32"/>
          <w:szCs w:val="32"/>
          <w:lang w:val="en-US" w:eastAsia="zh-CN"/>
        </w:rPr>
        <w:t>21</w:t>
      </w:r>
      <w:r>
        <w:rPr>
          <w:rFonts w:hint="eastAsia" w:ascii="仿宋_GB2312" w:hAnsi="微软雅黑" w:eastAsia="仿宋_GB2312" w:cs="宋体"/>
          <w:color w:val="000000"/>
          <w:kern w:val="0"/>
          <w:sz w:val="32"/>
          <w:szCs w:val="32"/>
        </w:rPr>
        <w:t>年度，我街道的政府信息公开工作取得一定成效，</w:t>
      </w:r>
      <w:r>
        <w:rPr>
          <w:rFonts w:hAnsi="仿宋_GB2312" w:eastAsia="仿宋_GB2312"/>
          <w:sz w:val="32"/>
          <w:szCs w:val="32"/>
        </w:rPr>
        <w:t>在充分肯定成绩的同时，我们也看到不足和差距。主要表现为：</w:t>
      </w:r>
      <w:r>
        <w:rPr>
          <w:rFonts w:hint="eastAsia" w:ascii="仿宋_GB2312" w:hAnsi="微软雅黑" w:eastAsia="仿宋_GB2312" w:cs="宋体"/>
          <w:b/>
          <w:color w:val="000000"/>
          <w:kern w:val="0"/>
          <w:sz w:val="32"/>
          <w:szCs w:val="32"/>
        </w:rPr>
        <w:t>一是</w:t>
      </w:r>
      <w:r>
        <w:rPr>
          <w:rFonts w:hint="eastAsia" w:ascii="仿宋_GB2312" w:hAnsi="微软雅黑" w:eastAsia="仿宋_GB2312" w:cs="宋体"/>
          <w:color w:val="000000"/>
          <w:kern w:val="0"/>
          <w:sz w:val="32"/>
          <w:szCs w:val="32"/>
        </w:rPr>
        <w:t>信息发布不够及时，针对这一情况在今后工作中，我们将督促信息管理员及时整理信息并发布；</w:t>
      </w:r>
      <w:r>
        <w:rPr>
          <w:rFonts w:hint="eastAsia" w:ascii="仿宋_GB2312" w:hAnsi="微软雅黑" w:eastAsia="仿宋_GB2312" w:cs="宋体"/>
          <w:b/>
          <w:color w:val="000000"/>
          <w:kern w:val="0"/>
          <w:sz w:val="32"/>
          <w:szCs w:val="32"/>
        </w:rPr>
        <w:t>二是</w:t>
      </w:r>
      <w:r>
        <w:rPr>
          <w:rFonts w:hint="eastAsia" w:hAnsi="仿宋_GB2312" w:eastAsia="仿宋_GB2312"/>
          <w:sz w:val="32"/>
          <w:szCs w:val="32"/>
        </w:rPr>
        <w:t>信息质量不高主题不突出，信息结构不够严谨，有些信息语句前后不通顺，</w:t>
      </w:r>
      <w:r>
        <w:rPr>
          <w:rFonts w:hAnsi="仿宋_GB2312" w:eastAsia="仿宋_GB2312"/>
          <w:sz w:val="32"/>
          <w:szCs w:val="32"/>
        </w:rPr>
        <w:t>有待进一步花大力气</w:t>
      </w:r>
      <w:r>
        <w:rPr>
          <w:rFonts w:hint="eastAsia" w:hAnsi="仿宋_GB2312" w:eastAsia="仿宋_GB2312"/>
          <w:sz w:val="32"/>
          <w:szCs w:val="32"/>
        </w:rPr>
        <w:t>改善</w:t>
      </w:r>
      <w:r>
        <w:rPr>
          <w:rFonts w:hAnsi="仿宋_GB2312" w:eastAsia="仿宋_GB2312"/>
          <w:sz w:val="32"/>
          <w:szCs w:val="32"/>
        </w:rPr>
        <w:t>。</w:t>
      </w:r>
      <w:r>
        <w:rPr>
          <w:rFonts w:hint="eastAsia" w:hAnsi="仿宋_GB2312" w:eastAsia="仿宋_GB2312"/>
          <w:sz w:val="32"/>
          <w:szCs w:val="32"/>
        </w:rPr>
        <w:t>我们将</w:t>
      </w:r>
      <w:r>
        <w:rPr>
          <w:rFonts w:hAnsi="仿宋_GB2312" w:eastAsia="仿宋_GB2312"/>
          <w:sz w:val="32"/>
          <w:szCs w:val="32"/>
        </w:rPr>
        <w:t>继续抓好政务公开与政府信息的深化提高。</w:t>
      </w:r>
      <w:r>
        <w:rPr>
          <w:rFonts w:hint="eastAsia" w:hAnsi="仿宋_GB2312" w:eastAsia="仿宋_GB2312"/>
          <w:sz w:val="32"/>
          <w:szCs w:val="32"/>
        </w:rPr>
        <w:t>激发全员写作的积极性，不断提高信息质量，使我们的</w:t>
      </w:r>
      <w:r>
        <w:rPr>
          <w:rFonts w:hAnsi="仿宋_GB2312" w:eastAsia="仿宋_GB2312"/>
          <w:sz w:val="32"/>
          <w:szCs w:val="32"/>
        </w:rPr>
        <w:t>政务公开</w:t>
      </w:r>
      <w:r>
        <w:rPr>
          <w:rFonts w:hint="eastAsia" w:hAnsi="仿宋_GB2312" w:eastAsia="仿宋_GB2312"/>
          <w:sz w:val="32"/>
          <w:szCs w:val="32"/>
        </w:rPr>
        <w:t>信息质量更上一个台阶；</w:t>
      </w:r>
      <w:r>
        <w:rPr>
          <w:rFonts w:hAnsi="仿宋_GB2312" w:eastAsia="仿宋_GB2312"/>
          <w:b/>
          <w:bCs/>
          <w:sz w:val="32"/>
          <w:szCs w:val="32"/>
        </w:rPr>
        <w:t>三是</w:t>
      </w:r>
      <w:r>
        <w:rPr>
          <w:rFonts w:hAnsi="仿宋_GB2312" w:eastAsia="仿宋_GB2312"/>
          <w:sz w:val="32"/>
          <w:szCs w:val="32"/>
        </w:rPr>
        <w:t>有的公开内容不规范。</w:t>
      </w:r>
      <w:r>
        <w:rPr>
          <w:rFonts w:hint="eastAsia" w:hAnsi="仿宋_GB2312" w:eastAsia="仿宋_GB2312"/>
          <w:sz w:val="32"/>
          <w:szCs w:val="32"/>
        </w:rPr>
        <w:t>我们将</w:t>
      </w:r>
      <w:r>
        <w:rPr>
          <w:rFonts w:hAnsi="仿宋_GB2312" w:eastAsia="仿宋_GB2312"/>
          <w:sz w:val="32"/>
          <w:szCs w:val="32"/>
        </w:rPr>
        <w:t>继续抓好政务公开与政府信息的规范完善。对公开的形式、内容、时限、程序、监督和运行机制等都要进一步规范，完善政务公开与政府信息工作制度，全面提升政务公开与政府信息的档次和水平。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六、其他需要报告的事项</w:t>
      </w:r>
    </w:p>
    <w:p>
      <w:pPr>
        <w:keepNext w:val="0"/>
        <w:keepLines w:val="0"/>
        <w:pageBreakBefore w:val="0"/>
        <w:widowControl/>
        <w:kinsoku/>
        <w:wordWrap/>
        <w:overflowPunct/>
        <w:topLinePunct w:val="0"/>
        <w:autoSpaceDE/>
        <w:autoSpaceDN/>
        <w:bidi w:val="0"/>
        <w:adjustRightInd/>
        <w:snapToGrid/>
        <w:spacing w:before="75" w:line="580" w:lineRule="exact"/>
        <w:ind w:firstLine="645"/>
        <w:textAlignment w:val="auto"/>
        <w:rPr>
          <w:rFonts w:hint="eastAsia" w:ascii="微软雅黑" w:hAnsi="微软雅黑" w:eastAsia="微软雅黑" w:cs="宋体"/>
          <w:color w:val="000000"/>
          <w:kern w:val="0"/>
          <w:szCs w:val="21"/>
        </w:rPr>
      </w:pPr>
      <w:r>
        <w:rPr>
          <w:rFonts w:hint="eastAsia" w:ascii="楷体_GB2312" w:hAnsi="微软雅黑" w:eastAsia="楷体_GB2312" w:cs="宋体"/>
          <w:color w:val="000000"/>
          <w:kern w:val="0"/>
          <w:sz w:val="32"/>
          <w:szCs w:val="32"/>
        </w:rPr>
        <w:t>（一）公开过程中的保密情况</w:t>
      </w:r>
    </w:p>
    <w:p>
      <w:pPr>
        <w:keepNext w:val="0"/>
        <w:keepLines w:val="0"/>
        <w:pageBreakBefore w:val="0"/>
        <w:widowControl/>
        <w:kinsoku/>
        <w:wordWrap/>
        <w:overflowPunct/>
        <w:topLinePunct w:val="0"/>
        <w:autoSpaceDE/>
        <w:autoSpaceDN/>
        <w:bidi w:val="0"/>
        <w:adjustRightInd/>
        <w:snapToGrid/>
        <w:spacing w:before="75" w:line="580" w:lineRule="exact"/>
        <w:ind w:firstLine="645"/>
        <w:textAlignment w:val="auto"/>
        <w:rPr>
          <w:rFonts w:hint="eastAsia"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为进一步加强政府信息保密工作力度，龙城街道加强了相关制度建设，制定了年度政务信息保密审查制度，通过制定制度，确保信息公开过程中严格审核，确保年度政府信息公开工作不发生任何失泄密情况，从而促进政府信息公开工作的正常开展。</w:t>
      </w:r>
    </w:p>
    <w:p>
      <w:pPr>
        <w:keepNext w:val="0"/>
        <w:keepLines w:val="0"/>
        <w:pageBreakBefore w:val="0"/>
        <w:widowControl/>
        <w:kinsoku/>
        <w:wordWrap/>
        <w:overflowPunct/>
        <w:topLinePunct w:val="0"/>
        <w:autoSpaceDE/>
        <w:autoSpaceDN/>
        <w:bidi w:val="0"/>
        <w:adjustRightInd/>
        <w:snapToGrid/>
        <w:spacing w:before="75" w:line="580" w:lineRule="exact"/>
        <w:ind w:firstLine="645"/>
        <w:textAlignment w:val="auto"/>
        <w:rPr>
          <w:rFonts w:hint="eastAsia" w:ascii="微软雅黑" w:hAnsi="微软雅黑" w:eastAsia="微软雅黑" w:cs="宋体"/>
          <w:color w:val="000000"/>
          <w:kern w:val="0"/>
          <w:szCs w:val="21"/>
        </w:rPr>
      </w:pPr>
      <w:r>
        <w:rPr>
          <w:rFonts w:hint="eastAsia" w:ascii="楷体_GB2312" w:hAnsi="微软雅黑" w:eastAsia="楷体_GB2312" w:cs="宋体"/>
          <w:color w:val="000000"/>
          <w:kern w:val="0"/>
          <w:sz w:val="32"/>
          <w:szCs w:val="32"/>
        </w:rPr>
        <w:t>（二）定期开展检查，确保网络安全</w:t>
      </w:r>
    </w:p>
    <w:p>
      <w:pPr>
        <w:keepNext w:val="0"/>
        <w:keepLines w:val="0"/>
        <w:pageBreakBefore w:val="0"/>
        <w:widowControl/>
        <w:kinsoku/>
        <w:wordWrap/>
        <w:overflowPunct/>
        <w:topLinePunct w:val="0"/>
        <w:autoSpaceDE/>
        <w:autoSpaceDN/>
        <w:bidi w:val="0"/>
        <w:adjustRightInd/>
        <w:snapToGrid/>
        <w:spacing w:before="75" w:line="580" w:lineRule="exact"/>
        <w:ind w:firstLine="645"/>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街道定期开展网络安全与政务公开等专项检查，找出安全隐患并进行了整改。安排专人定期对办事处、社区联网计算机进行清理检查，配置了防毒和杀毒软件，关闭了不必要的应用、服务、端口和链接，限制易被攻击、利用的网站栏目和功能。</w:t>
      </w:r>
    </w:p>
    <w:p>
      <w:pPr>
        <w:widowControl/>
        <w:spacing w:before="75" w:line="560" w:lineRule="exact"/>
        <w:ind w:firstLine="645"/>
        <w:rPr>
          <w:rFonts w:hint="eastAsia" w:ascii="仿宋_GB2312" w:hAnsi="微软雅黑" w:eastAsia="仿宋_GB2312" w:cs="宋体"/>
          <w:color w:val="000000"/>
          <w:kern w:val="0"/>
          <w:sz w:val="32"/>
          <w:szCs w:val="32"/>
        </w:rPr>
      </w:pPr>
    </w:p>
    <w:p>
      <w:pPr>
        <w:widowControl/>
        <w:spacing w:before="75" w:line="560" w:lineRule="exact"/>
        <w:ind w:firstLine="645"/>
        <w:rPr>
          <w:rFonts w:hint="eastAsia" w:ascii="仿宋_GB2312" w:hAnsi="微软雅黑" w:eastAsia="仿宋_GB2312" w:cs="宋体"/>
          <w:color w:val="000000"/>
          <w:kern w:val="0"/>
          <w:sz w:val="32"/>
          <w:szCs w:val="32"/>
        </w:rPr>
      </w:pPr>
    </w:p>
    <w:p>
      <w:pPr>
        <w:widowControl/>
        <w:spacing w:before="75" w:line="560" w:lineRule="exact"/>
        <w:ind w:firstLine="645"/>
        <w:rPr>
          <w:rFonts w:hint="eastAsia" w:ascii="仿宋_GB2312" w:hAnsi="微软雅黑" w:eastAsia="仿宋_GB2312" w:cs="宋体"/>
          <w:color w:val="000000"/>
          <w:kern w:val="0"/>
          <w:sz w:val="32"/>
          <w:szCs w:val="32"/>
        </w:rPr>
      </w:pPr>
      <w:r>
        <w:rPr>
          <w:sz w:val="32"/>
        </w:rPr>
        <w:pict>
          <v:shape id="_x0000_s1026" o:spid="_x0000_s1026" o:spt="201" type="#_x0000_t201" style="position:absolute;left:0pt;margin-left:259.8pt;margin-top:2.1pt;height:128pt;width:128pt;z-index:251658240;mso-width-relative:page;mso-height-relative:page;" o:ole="t" filled="f" o:preferrelative="t" stroked="f" coordsize="21600,21600">
            <v:path/>
            <v:fill on="f" focussize="0,0"/>
            <v:stroke on="f"/>
            <v:imagedata r:id="rId5" o:title=""/>
            <o:lock v:ext="edit" aspectratio="f"/>
          </v:shape>
          <w:control r:id="rId4" w:name="CWordOLECtrl1" w:shapeid="_x0000_s1026"/>
        </w:pict>
      </w:r>
    </w:p>
    <w:p>
      <w:pPr>
        <w:widowControl/>
        <w:wordWrap w:val="0"/>
        <w:spacing w:before="75" w:line="560" w:lineRule="exact"/>
        <w:ind w:firstLine="645"/>
        <w:jc w:val="right"/>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eastAsia="zh-CN"/>
        </w:rPr>
        <w:t>龙城街道办事处</w:t>
      </w:r>
      <w:r>
        <w:rPr>
          <w:rFonts w:hint="eastAsia" w:ascii="仿宋_GB2312" w:hAnsi="微软雅黑" w:eastAsia="仿宋_GB2312" w:cs="宋体"/>
          <w:color w:val="000000"/>
          <w:kern w:val="0"/>
          <w:sz w:val="32"/>
          <w:szCs w:val="32"/>
          <w:lang w:val="en-US" w:eastAsia="zh-CN"/>
        </w:rPr>
        <w:t xml:space="preserve">    </w:t>
      </w:r>
    </w:p>
    <w:p>
      <w:pPr>
        <w:widowControl/>
        <w:wordWrap w:val="0"/>
        <w:spacing w:before="75" w:line="560" w:lineRule="exact"/>
        <w:ind w:firstLine="645"/>
        <w:jc w:val="right"/>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 xml:space="preserve">2021年1月11日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B1577B-158B-4E91-BED9-9BF196EA0C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70AB6CE-62E8-4274-9261-F895D3B0D2D7}"/>
  </w:font>
  <w:font w:name="方正小标宋简体">
    <w:panose1 w:val="03000509000000000000"/>
    <w:charset w:val="86"/>
    <w:family w:val="script"/>
    <w:pitch w:val="default"/>
    <w:sig w:usb0="00000001" w:usb1="080E0000" w:usb2="00000000" w:usb3="00000000" w:csb0="00040000" w:csb1="00000000"/>
    <w:embedRegular r:id="rId3" w:fontKey="{2E11F5C8-A620-4F76-9AC7-3E2DB78708BD}"/>
  </w:font>
  <w:font w:name="仿宋_GB2312">
    <w:panose1 w:val="02010609030101010101"/>
    <w:charset w:val="86"/>
    <w:family w:val="modern"/>
    <w:pitch w:val="default"/>
    <w:sig w:usb0="00000001" w:usb1="080E0000" w:usb2="00000000" w:usb3="00000000" w:csb0="00040000" w:csb1="00000000"/>
    <w:embedRegular r:id="rId4" w:fontKey="{EAA961BC-6DC8-4740-9B51-B2EAC607F0FE}"/>
  </w:font>
  <w:font w:name="微软雅黑">
    <w:panose1 w:val="020B0503020204020204"/>
    <w:charset w:val="86"/>
    <w:family w:val="auto"/>
    <w:pitch w:val="default"/>
    <w:sig w:usb0="80000287" w:usb1="280F3C52" w:usb2="00000016" w:usb3="00000000" w:csb0="0004001F" w:csb1="00000000"/>
    <w:embedRegular r:id="rId5" w:fontKey="{D217E439-2EAF-4D99-9A1D-2AD119D79EE7}"/>
  </w:font>
  <w:font w:name="楷体">
    <w:panose1 w:val="02010609060101010101"/>
    <w:charset w:val="86"/>
    <w:family w:val="modern"/>
    <w:pitch w:val="default"/>
    <w:sig w:usb0="800002BF" w:usb1="38CF7CFA" w:usb2="00000016" w:usb3="00000000" w:csb0="00040001" w:csb1="00000000"/>
    <w:embedRegular r:id="rId6" w:fontKey="{C9AA0E26-B409-4581-BAE6-0B04EEB12AA7}"/>
  </w:font>
  <w:font w:name="楷体_GB2312">
    <w:panose1 w:val="02010609030101010101"/>
    <w:charset w:val="86"/>
    <w:family w:val="modern"/>
    <w:pitch w:val="default"/>
    <w:sig w:usb0="00000001" w:usb1="080E0000" w:usb2="00000000" w:usb3="00000000" w:csb0="00040000" w:csb1="00000000"/>
    <w:embedRegular r:id="rId7" w:fontKey="{96D2039F-3649-4AB0-AE5B-C11E221F2B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TrueTypeFonts/>
  <w:saveSubsetFonts/>
  <w:bordersDoNotSurroundHeader w:val="1"/>
  <w:bordersDoNotSurroundFooter w:val="1"/>
  <w:documentProtection w:edit="forms" w:enforcement="1" w:cryptProviderType="rsaFull" w:cryptAlgorithmClass="hash" w:cryptAlgorithmType="typeAny" w:cryptAlgorithmSid="4" w:cryptSpinCount="0" w:hash="NTsZhVLF1ERT5CG/D04zW1p83MM=" w:salt="hUNJ1iEM2z2n9vpPSX6Do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51DDC"/>
    <w:rsid w:val="04BA19B4"/>
    <w:rsid w:val="04D103A3"/>
    <w:rsid w:val="0A465A5E"/>
    <w:rsid w:val="0A9A649F"/>
    <w:rsid w:val="0AC0235E"/>
    <w:rsid w:val="0B8A6DD7"/>
    <w:rsid w:val="0D98735D"/>
    <w:rsid w:val="1010343F"/>
    <w:rsid w:val="113F0241"/>
    <w:rsid w:val="11603F53"/>
    <w:rsid w:val="15E2697B"/>
    <w:rsid w:val="19467ED2"/>
    <w:rsid w:val="1C3861F8"/>
    <w:rsid w:val="1EF51DDC"/>
    <w:rsid w:val="20C53DD2"/>
    <w:rsid w:val="23EE19AA"/>
    <w:rsid w:val="25FB7E85"/>
    <w:rsid w:val="262D044F"/>
    <w:rsid w:val="29AC3E5F"/>
    <w:rsid w:val="29CF578E"/>
    <w:rsid w:val="30ED1609"/>
    <w:rsid w:val="3DB12B11"/>
    <w:rsid w:val="3E727617"/>
    <w:rsid w:val="417A5DD3"/>
    <w:rsid w:val="44F347CE"/>
    <w:rsid w:val="48905214"/>
    <w:rsid w:val="48B31E08"/>
    <w:rsid w:val="4D0D3558"/>
    <w:rsid w:val="4DDD7F77"/>
    <w:rsid w:val="50A35CF2"/>
    <w:rsid w:val="53B80D4E"/>
    <w:rsid w:val="56372BC5"/>
    <w:rsid w:val="580E454F"/>
    <w:rsid w:val="59223334"/>
    <w:rsid w:val="5ABF46C2"/>
    <w:rsid w:val="5CC94568"/>
    <w:rsid w:val="5CE80DCC"/>
    <w:rsid w:val="5EAD2B71"/>
    <w:rsid w:val="625A628C"/>
    <w:rsid w:val="631E01EC"/>
    <w:rsid w:val="6B057F16"/>
    <w:rsid w:val="7772528F"/>
    <w:rsid w:val="78927758"/>
    <w:rsid w:val="79F92E24"/>
    <w:rsid w:val="7D2D2EFE"/>
    <w:rsid w:val="7FBC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2022-01-02T01:37:00Z</dcterms:created>
  <dc:creator>猫转身</dc:creator>
  <cp:lastModifiedBy>Administrator</cp:lastModifiedBy>
  <dcterms:modified xsi:type="dcterms:W3CDTF">2022-01-11T01:03:40Z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219513984D8A4164842CC4CF091DACF8</vt:lpwstr>
  </property>
  <property fmtid="{D5CDD505-2E9C-101B-9397-08002B2CF9AE}" pid="4" name="docranid">
    <vt:lpwstr>CD9B1592F79C4AA9AF1D8A2337019D1B</vt:lpwstr>
  </property>
</Properties>
</file>