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rPr>
          <w:rFonts w:ascii="Times New Roman"/>
          <w:sz w:val="20"/>
        </w:rPr>
      </w:pPr>
    </w:p>
    <w:p>
      <w:pPr>
        <w:pStyle w:val="5"/>
        <w:rPr>
          <w:rFonts w:ascii="Times New Roman"/>
          <w:sz w:val="20"/>
        </w:rPr>
      </w:pPr>
    </w:p>
    <w:p>
      <w:pPr>
        <w:pStyle w:val="5"/>
        <w:rPr>
          <w:rFonts w:ascii="Times New Roman"/>
          <w:sz w:val="20"/>
        </w:rPr>
      </w:pPr>
    </w:p>
    <w:p>
      <w:pPr>
        <w:pStyle w:val="5"/>
        <w:rPr>
          <w:rFonts w:ascii="Times New Roman"/>
          <w:sz w:val="20"/>
        </w:rPr>
      </w:pPr>
    </w:p>
    <w:p>
      <w:pPr>
        <w:pStyle w:val="5"/>
        <w:rPr>
          <w:rFonts w:ascii="Times New Roman"/>
          <w:sz w:val="20"/>
        </w:rPr>
      </w:pPr>
    </w:p>
    <w:p>
      <w:pPr>
        <w:pStyle w:val="5"/>
        <w:rPr>
          <w:rFonts w:ascii="Times New Roman"/>
          <w:sz w:val="20"/>
        </w:rPr>
      </w:pPr>
    </w:p>
    <w:p>
      <w:pPr>
        <w:pStyle w:val="5"/>
        <w:rPr>
          <w:rFonts w:ascii="Times New Roman"/>
          <w:sz w:val="20"/>
        </w:rPr>
      </w:pPr>
    </w:p>
    <w:p>
      <w:pPr>
        <w:pStyle w:val="5"/>
        <w:rPr>
          <w:rFonts w:ascii="Times New Roman"/>
          <w:sz w:val="20"/>
        </w:rPr>
      </w:pPr>
    </w:p>
    <w:p>
      <w:pPr>
        <w:pStyle w:val="5"/>
        <w:rPr>
          <w:rFonts w:ascii="Times New Roman"/>
          <w:sz w:val="20"/>
        </w:rPr>
      </w:pPr>
    </w:p>
    <w:p>
      <w:pPr>
        <w:pStyle w:val="5"/>
        <w:rPr>
          <w:rFonts w:ascii="Times New Roman"/>
          <w:sz w:val="20"/>
        </w:rPr>
      </w:pPr>
    </w:p>
    <w:p>
      <w:pPr>
        <w:pStyle w:val="5"/>
        <w:rPr>
          <w:rFonts w:ascii="Times New Roman"/>
          <w:sz w:val="20"/>
        </w:rPr>
      </w:pPr>
    </w:p>
    <w:p>
      <w:pPr>
        <w:pStyle w:val="5"/>
        <w:rPr>
          <w:rFonts w:ascii="Times New Roman"/>
          <w:sz w:val="20"/>
        </w:rPr>
      </w:pPr>
    </w:p>
    <w:p>
      <w:pPr>
        <w:pStyle w:val="5"/>
        <w:rPr>
          <w:rFonts w:ascii="Times New Roman"/>
          <w:sz w:val="20"/>
        </w:rPr>
      </w:pPr>
    </w:p>
    <w:p>
      <w:pPr>
        <w:pStyle w:val="5"/>
        <w:rPr>
          <w:rFonts w:ascii="Times New Roman"/>
          <w:sz w:val="20"/>
        </w:rPr>
      </w:pPr>
    </w:p>
    <w:p>
      <w:pPr>
        <w:pStyle w:val="5"/>
        <w:rPr>
          <w:rFonts w:ascii="Times New Roman"/>
          <w:sz w:val="20"/>
        </w:rPr>
      </w:pPr>
    </w:p>
    <w:p>
      <w:pPr>
        <w:pStyle w:val="5"/>
        <w:rPr>
          <w:rFonts w:ascii="Times New Roman"/>
          <w:sz w:val="20"/>
        </w:rPr>
      </w:pPr>
    </w:p>
    <w:p>
      <w:pPr>
        <w:pStyle w:val="5"/>
        <w:rPr>
          <w:rFonts w:ascii="Times New Roman"/>
          <w:sz w:val="20"/>
        </w:rPr>
      </w:pPr>
    </w:p>
    <w:p>
      <w:pPr>
        <w:pStyle w:val="5"/>
        <w:rPr>
          <w:rFonts w:ascii="Times New Roman"/>
          <w:sz w:val="20"/>
        </w:rPr>
      </w:pPr>
    </w:p>
    <w:p>
      <w:pPr>
        <w:pStyle w:val="5"/>
        <w:rPr>
          <w:rFonts w:ascii="Times New Roman"/>
          <w:sz w:val="20"/>
        </w:rPr>
      </w:pPr>
    </w:p>
    <w:p>
      <w:pPr>
        <w:pStyle w:val="5"/>
        <w:rPr>
          <w:rFonts w:ascii="Times New Roman"/>
          <w:sz w:val="20"/>
        </w:rPr>
      </w:pPr>
    </w:p>
    <w:p>
      <w:pPr>
        <w:pStyle w:val="5"/>
        <w:rPr>
          <w:rFonts w:ascii="Times New Roman"/>
          <w:sz w:val="20"/>
        </w:rPr>
      </w:pPr>
    </w:p>
    <w:p>
      <w:pPr>
        <w:spacing w:before="28" w:line="460" w:lineRule="auto"/>
        <w:ind w:left="1573" w:right="1571"/>
        <w:jc w:val="center"/>
        <w:rPr>
          <w:rFonts w:ascii="宋体" w:eastAsia="宋体"/>
          <w:b/>
          <w:sz w:val="56"/>
          <w:szCs w:val="24"/>
        </w:rPr>
      </w:pPr>
    </w:p>
    <w:p>
      <w:pPr>
        <w:pStyle w:val="5"/>
        <w:jc w:val="center"/>
        <w:rPr>
          <w:rFonts w:ascii="宋体" w:eastAsia="宋体"/>
          <w:b/>
          <w:sz w:val="40"/>
          <w:szCs w:val="40"/>
        </w:rPr>
      </w:pPr>
      <w:bookmarkStart w:id="0" w:name="2020年食品安全监督抽检任务"/>
      <w:bookmarkEnd w:id="0"/>
      <w:r>
        <w:rPr>
          <w:rFonts w:hint="eastAsia" w:ascii="宋体" w:eastAsia="宋体"/>
          <w:b/>
          <w:sz w:val="40"/>
          <w:szCs w:val="40"/>
        </w:rPr>
        <w:t>呈贡区教育体育局学校建设工程项目第三方审核服务</w:t>
      </w:r>
    </w:p>
    <w:p>
      <w:pPr>
        <w:pStyle w:val="5"/>
        <w:jc w:val="center"/>
        <w:rPr>
          <w:rFonts w:ascii="宋体"/>
          <w:b/>
          <w:sz w:val="40"/>
          <w:szCs w:val="40"/>
        </w:rPr>
      </w:pPr>
      <w:r>
        <w:rPr>
          <w:rFonts w:hint="eastAsia" w:ascii="宋体" w:eastAsia="宋体"/>
          <w:b/>
          <w:sz w:val="40"/>
          <w:szCs w:val="40"/>
        </w:rPr>
        <w:t>询价函</w:t>
      </w:r>
    </w:p>
    <w:p>
      <w:pPr>
        <w:pStyle w:val="5"/>
        <w:rPr>
          <w:rFonts w:ascii="宋体"/>
          <w:b/>
          <w:sz w:val="20"/>
        </w:rPr>
      </w:pPr>
    </w:p>
    <w:p>
      <w:pPr>
        <w:pStyle w:val="5"/>
        <w:rPr>
          <w:rFonts w:ascii="宋体"/>
          <w:b/>
          <w:sz w:val="20"/>
        </w:rPr>
      </w:pPr>
    </w:p>
    <w:p>
      <w:pPr>
        <w:pStyle w:val="5"/>
        <w:rPr>
          <w:rFonts w:ascii="宋体"/>
          <w:b/>
          <w:sz w:val="20"/>
        </w:rPr>
      </w:pPr>
    </w:p>
    <w:p>
      <w:pPr>
        <w:pStyle w:val="5"/>
        <w:rPr>
          <w:rFonts w:ascii="宋体"/>
          <w:b/>
          <w:sz w:val="20"/>
        </w:rPr>
      </w:pPr>
    </w:p>
    <w:p>
      <w:pPr>
        <w:pStyle w:val="5"/>
        <w:rPr>
          <w:rFonts w:ascii="宋体"/>
          <w:b/>
          <w:sz w:val="20"/>
        </w:rPr>
      </w:pPr>
    </w:p>
    <w:p>
      <w:pPr>
        <w:pStyle w:val="5"/>
        <w:rPr>
          <w:rFonts w:ascii="宋体"/>
          <w:b/>
          <w:sz w:val="20"/>
        </w:rPr>
      </w:pPr>
    </w:p>
    <w:p>
      <w:pPr>
        <w:pStyle w:val="5"/>
        <w:rPr>
          <w:rFonts w:ascii="宋体"/>
          <w:b/>
          <w:sz w:val="20"/>
        </w:rPr>
      </w:pPr>
    </w:p>
    <w:p>
      <w:pPr>
        <w:pStyle w:val="5"/>
        <w:spacing w:before="6"/>
        <w:rPr>
          <w:rFonts w:ascii="宋体"/>
          <w:b/>
          <w:sz w:val="13"/>
        </w:rPr>
      </w:pPr>
    </w:p>
    <w:p>
      <w:pPr>
        <w:pStyle w:val="5"/>
        <w:rPr>
          <w:rFonts w:ascii="宋体"/>
          <w:b/>
          <w:sz w:val="52"/>
        </w:rPr>
      </w:pPr>
    </w:p>
    <w:p>
      <w:pPr>
        <w:pStyle w:val="5"/>
        <w:spacing w:before="6"/>
        <w:rPr>
          <w:rFonts w:ascii="宋体"/>
          <w:b/>
          <w:sz w:val="67"/>
          <w:lang w:val="en-US"/>
        </w:rPr>
      </w:pPr>
    </w:p>
    <w:p>
      <w:pPr>
        <w:spacing w:line="364" w:lineRule="auto"/>
        <w:ind w:right="3426"/>
        <w:jc w:val="center"/>
        <w:rPr>
          <w:rFonts w:ascii="宋体" w:eastAsia="宋体"/>
          <w:b/>
          <w:spacing w:val="-2"/>
          <w:sz w:val="32"/>
        </w:rPr>
      </w:pPr>
      <w:r>
        <w:rPr>
          <w:rFonts w:hint="eastAsia" w:ascii="宋体" w:eastAsia="宋体"/>
          <w:b/>
          <w:spacing w:val="-2"/>
          <w:sz w:val="32"/>
        </w:rPr>
        <w:t xml:space="preserve">                   昆明市呈贡区教育体育局</w:t>
      </w:r>
    </w:p>
    <w:p>
      <w:pPr>
        <w:spacing w:line="364" w:lineRule="auto"/>
        <w:ind w:right="3426"/>
        <w:jc w:val="center"/>
        <w:rPr>
          <w:rFonts w:hint="default" w:ascii="宋体" w:eastAsia="宋体"/>
          <w:b/>
          <w:sz w:val="32"/>
          <w:lang w:val="en-US" w:eastAsia="zh-CN"/>
        </w:rPr>
      </w:pPr>
      <w:r>
        <w:rPr>
          <w:rFonts w:hint="eastAsia" w:ascii="宋体" w:eastAsia="宋体"/>
          <w:b/>
          <w:sz w:val="32"/>
        </w:rPr>
        <w:t xml:space="preserve">                   202</w:t>
      </w:r>
      <w:r>
        <w:rPr>
          <w:rFonts w:hint="eastAsia" w:ascii="宋体" w:eastAsia="宋体"/>
          <w:b/>
          <w:sz w:val="32"/>
          <w:lang w:val="en-US"/>
        </w:rPr>
        <w:t>1</w:t>
      </w:r>
      <w:r>
        <w:rPr>
          <w:rFonts w:hint="eastAsia" w:ascii="宋体" w:eastAsia="宋体"/>
          <w:b/>
          <w:spacing w:val="-55"/>
          <w:sz w:val="32"/>
        </w:rPr>
        <w:t>年</w:t>
      </w:r>
      <w:r>
        <w:rPr>
          <w:rFonts w:hint="eastAsia" w:ascii="宋体" w:eastAsia="宋体"/>
          <w:b/>
          <w:spacing w:val="-55"/>
          <w:sz w:val="32"/>
          <w:lang w:val="en-US" w:eastAsia="zh-CN"/>
        </w:rPr>
        <w:t xml:space="preserve"> 11</w:t>
      </w:r>
      <w:r>
        <w:rPr>
          <w:rFonts w:hint="eastAsia" w:ascii="宋体" w:eastAsia="宋体"/>
          <w:b/>
          <w:spacing w:val="-41"/>
          <w:sz w:val="32"/>
        </w:rPr>
        <w:t>月</w:t>
      </w:r>
    </w:p>
    <w:p>
      <w:pPr>
        <w:spacing w:line="364" w:lineRule="auto"/>
        <w:jc w:val="center"/>
        <w:rPr>
          <w:rFonts w:ascii="宋体" w:eastAsia="宋体"/>
          <w:sz w:val="32"/>
        </w:rPr>
        <w:sectPr>
          <w:headerReference r:id="rId3" w:type="default"/>
          <w:footerReference r:id="rId4" w:type="default"/>
          <w:type w:val="continuous"/>
          <w:pgSz w:w="11910" w:h="16840"/>
          <w:pgMar w:top="820" w:right="920" w:bottom="280" w:left="920" w:header="587" w:footer="720" w:gutter="0"/>
          <w:pgNumType w:start="1"/>
          <w:cols w:space="720" w:num="1"/>
        </w:sectPr>
      </w:pPr>
    </w:p>
    <w:p>
      <w:pPr>
        <w:pStyle w:val="5"/>
        <w:rPr>
          <w:rFonts w:ascii="宋体"/>
          <w:b/>
          <w:sz w:val="20"/>
        </w:rPr>
      </w:pPr>
    </w:p>
    <w:p>
      <w:pPr>
        <w:tabs>
          <w:tab w:val="left" w:pos="880"/>
        </w:tabs>
        <w:spacing w:before="158"/>
        <w:jc w:val="center"/>
        <w:rPr>
          <w:b/>
          <w:sz w:val="44"/>
        </w:rPr>
      </w:pPr>
      <w:r>
        <w:rPr>
          <w:b/>
          <w:sz w:val="44"/>
        </w:rPr>
        <w:t>目</w:t>
      </w:r>
      <w:r>
        <w:rPr>
          <w:b/>
          <w:sz w:val="44"/>
        </w:rPr>
        <w:tab/>
      </w:r>
      <w:r>
        <w:rPr>
          <w:b/>
          <w:sz w:val="44"/>
        </w:rPr>
        <w:t>录</w:t>
      </w:r>
    </w:p>
    <w:sdt>
      <w:sdtPr>
        <w:id w:val="675554204"/>
        <w:docPartObj>
          <w:docPartGallery w:val="Table of Contents"/>
          <w:docPartUnique/>
        </w:docPartObj>
      </w:sdtPr>
      <w:sdtContent>
        <w:p>
          <w:pPr>
            <w:pStyle w:val="9"/>
            <w:tabs>
              <w:tab w:val="right" w:leader="dot" w:pos="7749"/>
            </w:tabs>
            <w:spacing w:before="531"/>
          </w:pPr>
          <w:r>
            <w:fldChar w:fldCharType="begin"/>
          </w:r>
          <w:r>
            <w:instrText xml:space="preserve"> HYPERLINK \l "_TOC_250002" </w:instrText>
          </w:r>
          <w:r>
            <w:fldChar w:fldCharType="separate"/>
          </w:r>
          <w:r>
            <w:t>一、报价须知</w:t>
          </w:r>
          <w:r>
            <w:tab/>
          </w:r>
          <w:r>
            <w:t>3</w:t>
          </w:r>
          <w:r>
            <w:fldChar w:fldCharType="end"/>
          </w:r>
        </w:p>
        <w:p>
          <w:pPr>
            <w:pStyle w:val="9"/>
            <w:tabs>
              <w:tab w:val="right" w:leader="dot" w:pos="7749"/>
            </w:tabs>
            <w:spacing w:before="769"/>
          </w:pPr>
          <w:r>
            <w:t>二、</w:t>
          </w:r>
          <w:r>
            <w:rPr>
              <w:rFonts w:hint="eastAsia"/>
            </w:rPr>
            <w:t>项目</w:t>
          </w:r>
          <w:r>
            <w:t>明细</w:t>
          </w:r>
          <w:r>
            <w:tab/>
          </w:r>
          <w:r>
            <w:t>5</w:t>
          </w:r>
        </w:p>
        <w:p>
          <w:pPr>
            <w:pStyle w:val="9"/>
            <w:tabs>
              <w:tab w:val="right" w:leader="dot" w:pos="7749"/>
            </w:tabs>
          </w:pPr>
          <w:r>
            <w:fldChar w:fldCharType="begin"/>
          </w:r>
          <w:r>
            <w:instrText xml:space="preserve"> HYPERLINK \l "_TOC_250001" </w:instrText>
          </w:r>
          <w:r>
            <w:fldChar w:fldCharType="separate"/>
          </w:r>
          <w:r>
            <w:t>三、评审办法</w:t>
          </w:r>
          <w:r>
            <w:tab/>
          </w:r>
          <w:r>
            <w:rPr>
              <w:rFonts w:hint="eastAsia"/>
              <w:lang w:val="en-US"/>
            </w:rPr>
            <w:t>6</w:t>
          </w:r>
          <w:r>
            <w:rPr>
              <w:rFonts w:hint="eastAsia"/>
              <w:lang w:val="en-US"/>
            </w:rPr>
            <w:fldChar w:fldCharType="end"/>
          </w:r>
        </w:p>
        <w:p>
          <w:pPr>
            <w:pStyle w:val="9"/>
            <w:tabs>
              <w:tab w:val="right" w:leader="dot" w:pos="7972"/>
            </w:tabs>
          </w:pPr>
          <w:r>
            <w:fldChar w:fldCharType="begin"/>
          </w:r>
          <w:r>
            <w:instrText xml:space="preserve"> HYPERLINK \l "_TOC_250000" </w:instrText>
          </w:r>
          <w:r>
            <w:fldChar w:fldCharType="separate"/>
          </w:r>
          <w:r>
            <w:t>四、询价响应文件格式</w:t>
          </w:r>
          <w:r>
            <w:tab/>
          </w:r>
          <w:r>
            <w:rPr>
              <w:rFonts w:hint="eastAsia"/>
              <w:lang w:val="en-US"/>
            </w:rPr>
            <w:t>7</w:t>
          </w:r>
          <w:r>
            <w:rPr>
              <w:rFonts w:hint="eastAsia"/>
              <w:lang w:val="en-US"/>
            </w:rPr>
            <w:fldChar w:fldCharType="end"/>
          </w:r>
        </w:p>
      </w:sdtContent>
    </w:sdt>
    <w:p>
      <w:pPr>
        <w:sectPr>
          <w:pgSz w:w="11910" w:h="16840"/>
          <w:pgMar w:top="820" w:right="920" w:bottom="280" w:left="920" w:header="587" w:footer="0" w:gutter="0"/>
          <w:cols w:space="720" w:num="1"/>
        </w:sectPr>
      </w:pPr>
    </w:p>
    <w:p>
      <w:pPr>
        <w:pStyle w:val="2"/>
        <w:spacing w:before="1"/>
        <w:ind w:left="0" w:right="1571"/>
      </w:pPr>
      <w:bookmarkStart w:id="1" w:name="_TOC_250002"/>
      <w:bookmarkEnd w:id="1"/>
      <w:r>
        <w:rPr>
          <w:rFonts w:hint="eastAsia"/>
          <w:lang w:val="en-US" w:eastAsia="zh-CN"/>
        </w:rPr>
        <w:t xml:space="preserve">         </w:t>
      </w:r>
      <w:r>
        <w:t>一、报价须知</w:t>
      </w:r>
    </w:p>
    <w:tbl>
      <w:tblPr>
        <w:tblStyle w:val="10"/>
        <w:tblW w:w="9840" w:type="dxa"/>
        <w:tblInd w:w="1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1"/>
        <w:gridCol w:w="1243"/>
        <w:gridCol w:w="78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85" w:hRule="atLeast"/>
        </w:trPr>
        <w:tc>
          <w:tcPr>
            <w:tcW w:w="711" w:type="dxa"/>
          </w:tcPr>
          <w:p>
            <w:pPr>
              <w:pStyle w:val="14"/>
              <w:spacing w:line="380" w:lineRule="exact"/>
              <w:ind w:right="267"/>
              <w:jc w:val="right"/>
              <w:rPr>
                <w:b/>
                <w:sz w:val="24"/>
              </w:rPr>
            </w:pPr>
            <w:r>
              <w:rPr>
                <w:b/>
                <w:sz w:val="24"/>
              </w:rPr>
              <w:t>序号</w:t>
            </w:r>
          </w:p>
        </w:tc>
        <w:tc>
          <w:tcPr>
            <w:tcW w:w="1243" w:type="dxa"/>
          </w:tcPr>
          <w:p>
            <w:pPr>
              <w:pStyle w:val="14"/>
              <w:tabs>
                <w:tab w:val="left" w:pos="727"/>
              </w:tabs>
              <w:spacing w:line="380" w:lineRule="exact"/>
              <w:ind w:left="7"/>
              <w:jc w:val="center"/>
              <w:rPr>
                <w:b/>
                <w:sz w:val="24"/>
              </w:rPr>
            </w:pPr>
            <w:r>
              <w:rPr>
                <w:b/>
                <w:sz w:val="24"/>
              </w:rPr>
              <w:t>内</w:t>
            </w:r>
            <w:r>
              <w:rPr>
                <w:b/>
                <w:sz w:val="24"/>
              </w:rPr>
              <w:tab/>
            </w:r>
            <w:r>
              <w:rPr>
                <w:b/>
                <w:sz w:val="24"/>
              </w:rPr>
              <w:t>容</w:t>
            </w:r>
          </w:p>
        </w:tc>
        <w:tc>
          <w:tcPr>
            <w:tcW w:w="7886" w:type="dxa"/>
          </w:tcPr>
          <w:p>
            <w:pPr>
              <w:pStyle w:val="14"/>
              <w:spacing w:line="380" w:lineRule="exact"/>
              <w:ind w:left="2695" w:right="2686"/>
              <w:jc w:val="center"/>
              <w:rPr>
                <w:b/>
                <w:sz w:val="24"/>
              </w:rPr>
            </w:pPr>
            <w:r>
              <w:rPr>
                <w:b/>
                <w:sz w:val="24"/>
              </w:rPr>
              <w:t>说明与要求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0" w:hRule="atLeast"/>
        </w:trPr>
        <w:tc>
          <w:tcPr>
            <w:tcW w:w="711" w:type="dxa"/>
          </w:tcPr>
          <w:p>
            <w:pPr>
              <w:pStyle w:val="14"/>
              <w:spacing w:line="380" w:lineRule="exact"/>
              <w:ind w:left="11"/>
              <w:jc w:val="center"/>
              <w:rPr>
                <w:sz w:val="24"/>
              </w:rPr>
            </w:pPr>
            <w:r>
              <w:rPr>
                <w:sz w:val="24"/>
              </w:rPr>
              <w:t>1</w:t>
            </w:r>
          </w:p>
        </w:tc>
        <w:tc>
          <w:tcPr>
            <w:tcW w:w="1243" w:type="dxa"/>
          </w:tcPr>
          <w:p>
            <w:pPr>
              <w:pStyle w:val="14"/>
              <w:spacing w:line="380" w:lineRule="exact"/>
              <w:ind w:left="7"/>
              <w:jc w:val="center"/>
              <w:rPr>
                <w:sz w:val="24"/>
              </w:rPr>
            </w:pPr>
            <w:r>
              <w:rPr>
                <w:sz w:val="24"/>
              </w:rPr>
              <w:t>项目名称</w:t>
            </w:r>
          </w:p>
        </w:tc>
        <w:tc>
          <w:tcPr>
            <w:tcW w:w="7886" w:type="dxa"/>
          </w:tcPr>
          <w:p>
            <w:pPr>
              <w:pStyle w:val="14"/>
              <w:spacing w:line="380" w:lineRule="exact"/>
              <w:ind w:left="106"/>
              <w:rPr>
                <w:sz w:val="24"/>
                <w:lang w:val="en-US"/>
              </w:rPr>
            </w:pPr>
            <w:r>
              <w:rPr>
                <w:rFonts w:hint="eastAsia"/>
                <w:sz w:val="24"/>
                <w:lang w:val="en-US"/>
              </w:rPr>
              <w:t>学校建设工程项目第三方审核服务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05" w:hRule="atLeast"/>
        </w:trPr>
        <w:tc>
          <w:tcPr>
            <w:tcW w:w="711" w:type="dxa"/>
          </w:tcPr>
          <w:p>
            <w:pPr>
              <w:pStyle w:val="14"/>
              <w:spacing w:line="380" w:lineRule="exact"/>
              <w:ind w:left="11"/>
              <w:jc w:val="center"/>
              <w:rPr>
                <w:sz w:val="24"/>
              </w:rPr>
            </w:pPr>
            <w:r>
              <w:rPr>
                <w:sz w:val="24"/>
              </w:rPr>
              <w:t>2</w:t>
            </w:r>
          </w:p>
        </w:tc>
        <w:tc>
          <w:tcPr>
            <w:tcW w:w="1243" w:type="dxa"/>
          </w:tcPr>
          <w:p>
            <w:pPr>
              <w:pStyle w:val="14"/>
              <w:spacing w:line="380" w:lineRule="exact"/>
              <w:ind w:left="7"/>
              <w:jc w:val="center"/>
              <w:rPr>
                <w:sz w:val="24"/>
              </w:rPr>
            </w:pPr>
            <w:r>
              <w:rPr>
                <w:sz w:val="24"/>
              </w:rPr>
              <w:t>采购人</w:t>
            </w:r>
          </w:p>
        </w:tc>
        <w:tc>
          <w:tcPr>
            <w:tcW w:w="7886" w:type="dxa"/>
          </w:tcPr>
          <w:p>
            <w:pPr>
              <w:pStyle w:val="14"/>
              <w:spacing w:line="380" w:lineRule="exact"/>
              <w:ind w:left="106"/>
              <w:rPr>
                <w:sz w:val="24"/>
              </w:rPr>
            </w:pPr>
            <w:r>
              <w:rPr>
                <w:rFonts w:hint="eastAsia"/>
                <w:sz w:val="24"/>
                <w:lang w:val="en-US"/>
              </w:rPr>
              <w:t>昆明市呈贡区教育体育局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49" w:hRule="atLeast"/>
        </w:trPr>
        <w:tc>
          <w:tcPr>
            <w:tcW w:w="711" w:type="dxa"/>
          </w:tcPr>
          <w:p>
            <w:pPr>
              <w:pStyle w:val="14"/>
              <w:spacing w:line="380" w:lineRule="exact"/>
              <w:ind w:left="11"/>
              <w:jc w:val="center"/>
              <w:rPr>
                <w:sz w:val="24"/>
              </w:rPr>
            </w:pPr>
            <w:r>
              <w:rPr>
                <w:sz w:val="24"/>
              </w:rPr>
              <w:t>3</w:t>
            </w:r>
          </w:p>
        </w:tc>
        <w:tc>
          <w:tcPr>
            <w:tcW w:w="1243" w:type="dxa"/>
          </w:tcPr>
          <w:p>
            <w:pPr>
              <w:pStyle w:val="14"/>
              <w:spacing w:line="380" w:lineRule="exact"/>
              <w:ind w:left="7"/>
              <w:jc w:val="center"/>
              <w:rPr>
                <w:sz w:val="24"/>
              </w:rPr>
            </w:pPr>
            <w:r>
              <w:rPr>
                <w:sz w:val="24"/>
              </w:rPr>
              <w:t>资金来源</w:t>
            </w:r>
          </w:p>
        </w:tc>
        <w:tc>
          <w:tcPr>
            <w:tcW w:w="7886" w:type="dxa"/>
          </w:tcPr>
          <w:p>
            <w:pPr>
              <w:pStyle w:val="14"/>
              <w:spacing w:line="380" w:lineRule="exact"/>
              <w:ind w:left="106"/>
              <w:rPr>
                <w:sz w:val="24"/>
              </w:rPr>
            </w:pPr>
            <w:r>
              <w:rPr>
                <w:sz w:val="24"/>
              </w:rPr>
              <w:t>财政资金</w:t>
            </w:r>
            <w:r>
              <w:rPr>
                <w:rFonts w:hint="eastAsia"/>
                <w:sz w:val="24"/>
              </w:rPr>
              <w:t>19万元/年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60" w:hRule="atLeast"/>
        </w:trPr>
        <w:tc>
          <w:tcPr>
            <w:tcW w:w="711" w:type="dxa"/>
          </w:tcPr>
          <w:p>
            <w:pPr>
              <w:pStyle w:val="14"/>
              <w:spacing w:before="270"/>
              <w:ind w:left="11"/>
              <w:jc w:val="center"/>
              <w:rPr>
                <w:sz w:val="24"/>
              </w:rPr>
            </w:pPr>
            <w:r>
              <w:rPr>
                <w:sz w:val="24"/>
              </w:rPr>
              <w:t>4</w:t>
            </w:r>
          </w:p>
        </w:tc>
        <w:tc>
          <w:tcPr>
            <w:tcW w:w="1243" w:type="dxa"/>
          </w:tcPr>
          <w:p>
            <w:pPr>
              <w:pStyle w:val="14"/>
              <w:spacing w:before="270"/>
              <w:ind w:left="7"/>
              <w:jc w:val="center"/>
              <w:rPr>
                <w:sz w:val="24"/>
              </w:rPr>
            </w:pPr>
            <w:r>
              <w:rPr>
                <w:sz w:val="24"/>
              </w:rPr>
              <w:t>采购内容</w:t>
            </w:r>
          </w:p>
        </w:tc>
        <w:tc>
          <w:tcPr>
            <w:tcW w:w="7886" w:type="dxa"/>
          </w:tcPr>
          <w:p>
            <w:pPr>
              <w:pStyle w:val="14"/>
              <w:spacing w:line="380" w:lineRule="exact"/>
              <w:ind w:left="106"/>
              <w:rPr>
                <w:sz w:val="24"/>
              </w:rPr>
            </w:pPr>
            <w:r>
              <w:rPr>
                <w:rFonts w:hint="eastAsia"/>
                <w:sz w:val="24"/>
                <w:lang w:val="zh-TW"/>
              </w:rPr>
              <w:t>（一）</w:t>
            </w:r>
            <w:r>
              <w:rPr>
                <w:rFonts w:hint="eastAsia"/>
                <w:sz w:val="24"/>
              </w:rPr>
              <w:t>为</w:t>
            </w:r>
            <w:r>
              <w:rPr>
                <w:rFonts w:hint="eastAsia"/>
                <w:sz w:val="24"/>
                <w:lang w:val="zh-TW"/>
              </w:rPr>
              <w:t>呈贡区教育体育局</w:t>
            </w:r>
            <w:r>
              <w:rPr>
                <w:rFonts w:hint="eastAsia"/>
                <w:sz w:val="24"/>
              </w:rPr>
              <w:t>提供2021年在建及</w:t>
            </w:r>
            <w:r>
              <w:rPr>
                <w:rFonts w:hint="eastAsia"/>
                <w:sz w:val="24"/>
                <w:lang w:val="en-US"/>
              </w:rPr>
              <w:t>2022</w:t>
            </w:r>
            <w:r>
              <w:rPr>
                <w:rFonts w:hint="eastAsia"/>
                <w:sz w:val="24"/>
              </w:rPr>
              <w:t>计划拟建</w:t>
            </w:r>
            <w:r>
              <w:rPr>
                <w:rFonts w:hint="eastAsia"/>
                <w:sz w:val="24"/>
                <w:lang w:val="en-US"/>
              </w:rPr>
              <w:t>的</w:t>
            </w:r>
            <w:r>
              <w:rPr>
                <w:rFonts w:hint="eastAsia"/>
                <w:sz w:val="24"/>
              </w:rPr>
              <w:t>学校建设项目的工程造价技术咨询服务，对项目的建安工程进行分析性审查，并出具分析报告。</w:t>
            </w:r>
          </w:p>
          <w:p>
            <w:pPr>
              <w:pStyle w:val="14"/>
              <w:spacing w:line="380" w:lineRule="exact"/>
              <w:ind w:left="106"/>
              <w:rPr>
                <w:sz w:val="24"/>
                <w:lang w:val="zh-TW"/>
              </w:rPr>
            </w:pPr>
            <w:r>
              <w:rPr>
                <w:rFonts w:hint="eastAsia"/>
                <w:sz w:val="24"/>
                <w:lang w:val="zh-TW"/>
              </w:rPr>
              <w:t>（</w:t>
            </w:r>
            <w:r>
              <w:rPr>
                <w:rFonts w:hint="eastAsia"/>
                <w:sz w:val="24"/>
              </w:rPr>
              <w:t>二</w:t>
            </w:r>
            <w:r>
              <w:rPr>
                <w:rFonts w:hint="eastAsia"/>
                <w:sz w:val="24"/>
                <w:lang w:val="zh-TW"/>
              </w:rPr>
              <w:t>）</w:t>
            </w:r>
            <w:r>
              <w:rPr>
                <w:rFonts w:hint="eastAsia"/>
                <w:sz w:val="24"/>
              </w:rPr>
              <w:t>对</w:t>
            </w:r>
            <w:r>
              <w:rPr>
                <w:rFonts w:hint="eastAsia"/>
                <w:sz w:val="24"/>
                <w:lang w:val="zh-TW"/>
              </w:rPr>
              <w:t>呈贡区教育体育局</w:t>
            </w:r>
            <w:r>
              <w:rPr>
                <w:rFonts w:hint="eastAsia"/>
                <w:sz w:val="24"/>
                <w:lang w:val="en-US"/>
              </w:rPr>
              <w:t>谋划推进</w:t>
            </w:r>
            <w:r>
              <w:rPr>
                <w:rFonts w:hint="eastAsia"/>
                <w:sz w:val="24"/>
              </w:rPr>
              <w:t>的学校建设</w:t>
            </w:r>
            <w:r>
              <w:rPr>
                <w:rFonts w:hint="eastAsia"/>
                <w:sz w:val="24"/>
                <w:lang w:val="zh-TW"/>
              </w:rPr>
              <w:t>项目</w:t>
            </w:r>
            <w:r>
              <w:rPr>
                <w:rFonts w:hint="eastAsia"/>
                <w:sz w:val="24"/>
                <w:lang w:val="zh-TW" w:eastAsia="zh-TW"/>
              </w:rPr>
              <w:t>提供</w:t>
            </w:r>
            <w:r>
              <w:rPr>
                <w:rFonts w:hint="eastAsia"/>
                <w:sz w:val="24"/>
                <w:lang w:val="zh-TW"/>
              </w:rPr>
              <w:t>工程造价技术咨询服务</w:t>
            </w:r>
            <w:r>
              <w:rPr>
                <w:rFonts w:hint="eastAsia"/>
                <w:sz w:val="24"/>
                <w:lang w:val="en-US"/>
              </w:rPr>
              <w:t>意见</w:t>
            </w:r>
            <w:r>
              <w:rPr>
                <w:rFonts w:hint="eastAsia"/>
                <w:sz w:val="24"/>
                <w:lang w:val="zh-TW"/>
              </w:rPr>
              <w:t>：包括</w:t>
            </w:r>
            <w:r>
              <w:rPr>
                <w:rFonts w:hint="eastAsia"/>
                <w:sz w:val="24"/>
              </w:rPr>
              <w:t>但不限于项目立项、可行性研究阶段投资估算、初步设计结算投资概算、项目预（结）算评估等</w:t>
            </w:r>
            <w:r>
              <w:rPr>
                <w:rFonts w:hint="eastAsia"/>
                <w:sz w:val="24"/>
                <w:lang w:val="zh-TW" w:eastAsia="zh-TW"/>
              </w:rPr>
              <w:t>咨询服务</w:t>
            </w:r>
            <w:r>
              <w:rPr>
                <w:rFonts w:hint="eastAsia"/>
                <w:sz w:val="24"/>
                <w:lang w:val="zh-TW"/>
              </w:rPr>
              <w:t>。</w:t>
            </w:r>
          </w:p>
          <w:p>
            <w:pPr>
              <w:pStyle w:val="14"/>
              <w:spacing w:line="380" w:lineRule="exact"/>
              <w:ind w:left="106"/>
              <w:rPr>
                <w:sz w:val="24"/>
              </w:rPr>
            </w:pPr>
            <w:r>
              <w:rPr>
                <w:rFonts w:hint="eastAsia"/>
                <w:sz w:val="24"/>
                <w:lang w:val="zh-TW"/>
              </w:rPr>
              <w:t>（</w:t>
            </w:r>
            <w:r>
              <w:rPr>
                <w:rFonts w:hint="eastAsia"/>
                <w:sz w:val="24"/>
              </w:rPr>
              <w:t>三</w:t>
            </w:r>
            <w:r>
              <w:rPr>
                <w:rFonts w:hint="eastAsia"/>
                <w:sz w:val="24"/>
                <w:lang w:val="zh-TW"/>
              </w:rPr>
              <w:t>）</w:t>
            </w:r>
            <w:r>
              <w:rPr>
                <w:rFonts w:hint="eastAsia"/>
                <w:sz w:val="24"/>
              </w:rPr>
              <w:t>测算呈贡区新建扩建居住区配建教育基础设施所需学位</w:t>
            </w:r>
            <w:r>
              <w:rPr>
                <w:rFonts w:hint="eastAsia"/>
                <w:sz w:val="24"/>
                <w:lang w:val="en-US"/>
              </w:rPr>
              <w:t>的</w:t>
            </w:r>
            <w:r>
              <w:rPr>
                <w:rFonts w:hint="eastAsia"/>
                <w:sz w:val="24"/>
              </w:rPr>
              <w:t>平均建设成本，提供教育代建金、</w:t>
            </w:r>
            <w:r>
              <w:rPr>
                <w:rFonts w:hint="eastAsia"/>
                <w:sz w:val="24"/>
                <w:lang w:val="en-US"/>
              </w:rPr>
              <w:t>教育配套设施装修、设施设备购置等相关事项的造价评估及测算</w:t>
            </w:r>
            <w:r>
              <w:rPr>
                <w:rFonts w:hint="eastAsia"/>
                <w:sz w:val="24"/>
              </w:rPr>
              <w:t>咨询服务。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12" w:hRule="atLeast"/>
        </w:trPr>
        <w:tc>
          <w:tcPr>
            <w:tcW w:w="711" w:type="dxa"/>
          </w:tcPr>
          <w:p>
            <w:pPr>
              <w:pStyle w:val="14"/>
              <w:spacing w:before="3"/>
              <w:rPr>
                <w:b/>
                <w:sz w:val="31"/>
              </w:rPr>
            </w:pPr>
          </w:p>
          <w:p>
            <w:pPr>
              <w:pStyle w:val="14"/>
              <w:ind w:left="11"/>
              <w:jc w:val="center"/>
              <w:rPr>
                <w:sz w:val="24"/>
              </w:rPr>
            </w:pPr>
            <w:r>
              <w:rPr>
                <w:sz w:val="24"/>
              </w:rPr>
              <w:t>5</w:t>
            </w:r>
          </w:p>
        </w:tc>
        <w:tc>
          <w:tcPr>
            <w:tcW w:w="1243" w:type="dxa"/>
          </w:tcPr>
          <w:p>
            <w:pPr>
              <w:pStyle w:val="14"/>
              <w:spacing w:before="3"/>
              <w:rPr>
                <w:b/>
                <w:sz w:val="31"/>
              </w:rPr>
            </w:pPr>
          </w:p>
          <w:p>
            <w:pPr>
              <w:pStyle w:val="14"/>
              <w:ind w:left="7"/>
              <w:jc w:val="center"/>
              <w:rPr>
                <w:sz w:val="24"/>
              </w:rPr>
            </w:pPr>
            <w:r>
              <w:rPr>
                <w:sz w:val="24"/>
              </w:rPr>
              <w:t>询价响应单位要求</w:t>
            </w:r>
          </w:p>
        </w:tc>
        <w:tc>
          <w:tcPr>
            <w:tcW w:w="7886" w:type="dxa"/>
          </w:tcPr>
          <w:p>
            <w:pPr>
              <w:pStyle w:val="14"/>
              <w:spacing w:line="380" w:lineRule="exact"/>
              <w:ind w:left="106"/>
              <w:rPr>
                <w:rFonts w:hint="eastAsia" w:eastAsia="微软雅黑"/>
                <w:sz w:val="24"/>
                <w:lang w:val="zh-TW" w:eastAsia="zh-CN"/>
              </w:rPr>
            </w:pPr>
            <w:r>
              <w:rPr>
                <w:rFonts w:hint="eastAsia"/>
                <w:sz w:val="24"/>
                <w:lang w:val="zh-TW"/>
              </w:rPr>
              <w:t>（</w:t>
            </w:r>
            <w:r>
              <w:rPr>
                <w:rFonts w:hint="eastAsia"/>
                <w:sz w:val="24"/>
                <w:lang w:val="en-US"/>
              </w:rPr>
              <w:t>一</w:t>
            </w:r>
            <w:r>
              <w:rPr>
                <w:rFonts w:hint="eastAsia"/>
                <w:sz w:val="24"/>
                <w:lang w:val="zh-TW"/>
              </w:rPr>
              <w:t>）符合《中华人民共和国政府采购法》第二十二条、《中华人民共和国政府采购法实施条例》第十七条之规定，须具有独立承担民事责任的能力，在中华人民共和国境内注册，经国家工商行政管理部门登记注册的独立企业（事业）法人或其它组织</w:t>
            </w:r>
            <w:r>
              <w:rPr>
                <w:rFonts w:hint="eastAsia"/>
                <w:sz w:val="24"/>
                <w:lang w:val="zh-TW" w:eastAsia="zh-CN"/>
              </w:rPr>
              <w:t>。</w:t>
            </w:r>
          </w:p>
          <w:p>
            <w:pPr>
              <w:pStyle w:val="14"/>
              <w:spacing w:line="380" w:lineRule="exact"/>
              <w:ind w:left="106"/>
              <w:rPr>
                <w:sz w:val="24"/>
                <w:lang w:val="zh-TW"/>
              </w:rPr>
            </w:pPr>
            <w:r>
              <w:rPr>
                <w:rFonts w:hint="eastAsia"/>
                <w:sz w:val="24"/>
                <w:lang w:val="zh-TW"/>
              </w:rPr>
              <w:t>（</w:t>
            </w:r>
            <w:r>
              <w:rPr>
                <w:rFonts w:hint="eastAsia"/>
                <w:sz w:val="24"/>
                <w:lang w:val="en-US"/>
              </w:rPr>
              <w:t>二</w:t>
            </w:r>
            <w:r>
              <w:rPr>
                <w:rFonts w:hint="eastAsia"/>
                <w:sz w:val="24"/>
                <w:lang w:val="zh-TW"/>
              </w:rPr>
              <w:t>）具有良好的商业信誉和健全的财务会计制度：</w:t>
            </w:r>
          </w:p>
          <w:p>
            <w:pPr>
              <w:pStyle w:val="14"/>
              <w:spacing w:line="380" w:lineRule="exact"/>
              <w:ind w:left="106"/>
              <w:rPr>
                <w:sz w:val="24"/>
                <w:lang w:val="zh-TW" w:eastAsia="zh-TW"/>
              </w:rPr>
            </w:pPr>
            <w:r>
              <w:rPr>
                <w:rFonts w:hint="eastAsia"/>
                <w:sz w:val="24"/>
                <w:lang w:val="en-US" w:eastAsia="zh-TW"/>
              </w:rPr>
              <w:t>1.</w:t>
            </w:r>
            <w:r>
              <w:rPr>
                <w:rFonts w:hint="eastAsia"/>
                <w:sz w:val="24"/>
                <w:lang w:val="zh-TW" w:eastAsia="zh-TW"/>
              </w:rPr>
              <w:t>提供国家企业信用信息公示系统及中国政府采购网（www.ccgp.gov.cn）的失信信息查询材料；</w:t>
            </w:r>
          </w:p>
          <w:p>
            <w:pPr>
              <w:pStyle w:val="14"/>
              <w:spacing w:line="380" w:lineRule="exact"/>
              <w:ind w:left="106"/>
              <w:rPr>
                <w:sz w:val="24"/>
                <w:lang w:val="zh-TW"/>
              </w:rPr>
            </w:pPr>
            <w:r>
              <w:rPr>
                <w:rFonts w:hint="eastAsia"/>
                <w:sz w:val="24"/>
                <w:lang w:val="en-US"/>
              </w:rPr>
              <w:t>2.</w:t>
            </w:r>
            <w:r>
              <w:rPr>
                <w:rFonts w:hint="eastAsia"/>
                <w:sz w:val="24"/>
                <w:lang w:val="zh-TW"/>
              </w:rPr>
              <w:t>提供2020年度的财务报表；</w:t>
            </w:r>
          </w:p>
          <w:p>
            <w:pPr>
              <w:pStyle w:val="14"/>
              <w:spacing w:line="380" w:lineRule="exact"/>
              <w:ind w:left="106"/>
              <w:rPr>
                <w:sz w:val="24"/>
                <w:lang w:val="zh-TW"/>
              </w:rPr>
            </w:pPr>
            <w:r>
              <w:rPr>
                <w:rFonts w:hint="eastAsia"/>
                <w:sz w:val="24"/>
                <w:lang w:val="en-US"/>
              </w:rPr>
              <w:t>（</w:t>
            </w:r>
            <w:r>
              <w:rPr>
                <w:rFonts w:hint="eastAsia"/>
                <w:sz w:val="24"/>
                <w:lang w:val="en-US" w:eastAsia="zh-CN"/>
              </w:rPr>
              <w:t>三</w:t>
            </w:r>
            <w:r>
              <w:rPr>
                <w:rFonts w:hint="eastAsia"/>
                <w:sz w:val="24"/>
                <w:lang w:val="en-US"/>
              </w:rPr>
              <w:t>）</w:t>
            </w:r>
            <w:r>
              <w:rPr>
                <w:rFonts w:hint="eastAsia"/>
                <w:sz w:val="24"/>
                <w:lang w:val="zh-TW"/>
              </w:rPr>
              <w:t>人员要求：</w:t>
            </w:r>
          </w:p>
          <w:p>
            <w:pPr>
              <w:pStyle w:val="14"/>
              <w:spacing w:line="380" w:lineRule="exact"/>
              <w:ind w:left="106"/>
              <w:rPr>
                <w:sz w:val="24"/>
                <w:lang w:val="zh-TW"/>
              </w:rPr>
            </w:pPr>
            <w:r>
              <w:rPr>
                <w:rFonts w:hint="eastAsia"/>
                <w:sz w:val="24"/>
                <w:lang w:val="en-US"/>
              </w:rPr>
              <w:t>1.</w:t>
            </w:r>
            <w:r>
              <w:rPr>
                <w:rFonts w:hint="eastAsia"/>
                <w:sz w:val="24"/>
                <w:lang w:val="zh-TW"/>
              </w:rPr>
              <w:t>项目负责人：须具备住房和城乡建设部门颁发的注册造价工程师资格，须注册在本单位，工程师及以上职称。须提供相关资料（项目负责人的身份证、专业技术职称、执业资格、注册证书的复印件或扫描件，社保证明，未提供或提供材料不清晰的，不予认可）。</w:t>
            </w:r>
          </w:p>
          <w:p>
            <w:pPr>
              <w:pStyle w:val="14"/>
              <w:spacing w:line="380" w:lineRule="exact"/>
              <w:ind w:left="106"/>
              <w:rPr>
                <w:sz w:val="24"/>
                <w:lang w:val="zh-TW"/>
              </w:rPr>
            </w:pPr>
            <w:r>
              <w:rPr>
                <w:rFonts w:hint="eastAsia"/>
                <w:sz w:val="24"/>
                <w:lang w:val="en-US"/>
              </w:rPr>
              <w:t>2.</w:t>
            </w:r>
            <w:r>
              <w:rPr>
                <w:rFonts w:hint="eastAsia"/>
                <w:sz w:val="24"/>
                <w:lang w:val="zh-TW"/>
              </w:rPr>
              <w:t>项目组其他成员配置要求：项目组其他成员不得少于6人，拟派本项目组所有成员须是本投标人员工，提供项目组成员劳动保障部门社保证明及劳动合同；</w:t>
            </w:r>
          </w:p>
          <w:p>
            <w:pPr>
              <w:pStyle w:val="14"/>
              <w:spacing w:line="380" w:lineRule="exact"/>
              <w:ind w:left="106"/>
              <w:rPr>
                <w:sz w:val="24"/>
                <w:lang w:val="zh-TW"/>
              </w:rPr>
            </w:pPr>
            <w:r>
              <w:rPr>
                <w:rFonts w:hint="eastAsia"/>
                <w:sz w:val="24"/>
                <w:lang w:val="en-US" w:eastAsia="zh-CN"/>
              </w:rPr>
              <w:t>（四</w:t>
            </w:r>
            <w:r>
              <w:rPr>
                <w:rFonts w:hint="eastAsia"/>
                <w:sz w:val="24"/>
                <w:lang w:val="zh-TW"/>
              </w:rPr>
              <w:t>）投标人参加政府采购活动前三年内，在经营活动中没有重大违法记录（重大违法记录是指投标人因违法经营受到刑事处罚或者责令停产停业、吊销许可证或者执照、较大数额罚款等行政处罚）；</w:t>
            </w:r>
          </w:p>
          <w:p>
            <w:pPr>
              <w:pStyle w:val="14"/>
              <w:spacing w:line="362" w:lineRule="exact"/>
              <w:ind w:left="106"/>
              <w:rPr>
                <w:color w:val="FF0000"/>
                <w:sz w:val="24"/>
              </w:rPr>
            </w:pPr>
            <w:r>
              <w:rPr>
                <w:rFonts w:hint="eastAsia"/>
                <w:color w:val="auto"/>
                <w:sz w:val="24"/>
                <w:highlight w:val="none"/>
                <w:lang w:val="zh-TW"/>
              </w:rPr>
              <w:t>（</w:t>
            </w:r>
            <w:r>
              <w:rPr>
                <w:rFonts w:hint="eastAsia"/>
                <w:color w:val="auto"/>
                <w:sz w:val="24"/>
                <w:highlight w:val="none"/>
                <w:lang w:val="en-US" w:eastAsia="zh-CN"/>
              </w:rPr>
              <w:t>五）</w:t>
            </w:r>
            <w:bookmarkStart w:id="5" w:name="_GoBack"/>
            <w:bookmarkEnd w:id="5"/>
            <w:r>
              <w:rPr>
                <w:rFonts w:hint="eastAsia"/>
                <w:color w:val="auto"/>
                <w:sz w:val="24"/>
                <w:highlight w:val="none"/>
                <w:lang w:val="en-US"/>
              </w:rPr>
              <w:t>投标人须提供20</w:t>
            </w:r>
            <w:r>
              <w:rPr>
                <w:rFonts w:hint="eastAsia"/>
                <w:color w:val="auto"/>
                <w:sz w:val="24"/>
                <w:highlight w:val="none"/>
                <w:lang w:val="en-US" w:eastAsia="zh-CN"/>
              </w:rPr>
              <w:t>19</w:t>
            </w:r>
            <w:r>
              <w:rPr>
                <w:rFonts w:hint="eastAsia"/>
                <w:color w:val="auto"/>
                <w:sz w:val="24"/>
                <w:highlight w:val="none"/>
                <w:lang w:val="en-US"/>
              </w:rPr>
              <w:t>年01月01日后未参与过以昆明市呈贡区教育体育局为主体的相关建设项目的造价咨询服务</w:t>
            </w:r>
            <w:r>
              <w:rPr>
                <w:rFonts w:hint="eastAsia"/>
                <w:color w:val="auto"/>
                <w:sz w:val="24"/>
                <w:highlight w:val="none"/>
                <w:lang w:val="en-US" w:eastAsia="zh-CN"/>
              </w:rPr>
              <w:t>相关</w:t>
            </w:r>
            <w:r>
              <w:rPr>
                <w:rFonts w:hint="eastAsia"/>
                <w:color w:val="auto"/>
                <w:sz w:val="24"/>
                <w:highlight w:val="none"/>
                <w:lang w:val="en-US"/>
              </w:rPr>
              <w:t>证明材料（提供承诺函）</w:t>
            </w:r>
            <w:r>
              <w:rPr>
                <w:rFonts w:hint="eastAsia"/>
                <w:color w:val="auto"/>
                <w:sz w:val="24"/>
                <w:highlight w:val="none"/>
                <w:lang w:val="zh-TW"/>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23" w:hRule="atLeast"/>
        </w:trPr>
        <w:tc>
          <w:tcPr>
            <w:tcW w:w="711" w:type="dxa"/>
          </w:tcPr>
          <w:p>
            <w:pPr>
              <w:pStyle w:val="14"/>
              <w:spacing w:before="201"/>
              <w:ind w:left="11"/>
              <w:jc w:val="center"/>
              <w:rPr>
                <w:sz w:val="24"/>
              </w:rPr>
            </w:pPr>
            <w:r>
              <w:rPr>
                <w:sz w:val="24"/>
              </w:rPr>
              <w:t>6</w:t>
            </w:r>
          </w:p>
        </w:tc>
        <w:tc>
          <w:tcPr>
            <w:tcW w:w="1243" w:type="dxa"/>
          </w:tcPr>
          <w:p>
            <w:pPr>
              <w:pStyle w:val="14"/>
              <w:spacing w:line="398" w:lineRule="exact"/>
              <w:ind w:left="7"/>
              <w:jc w:val="center"/>
              <w:rPr>
                <w:sz w:val="24"/>
              </w:rPr>
            </w:pPr>
            <w:r>
              <w:rPr>
                <w:sz w:val="24"/>
              </w:rPr>
              <w:t>询价响应文件提交</w:t>
            </w:r>
          </w:p>
          <w:p>
            <w:pPr>
              <w:pStyle w:val="14"/>
              <w:spacing w:line="405" w:lineRule="exact"/>
              <w:ind w:left="7"/>
              <w:jc w:val="center"/>
              <w:rPr>
                <w:sz w:val="24"/>
              </w:rPr>
            </w:pPr>
            <w:r>
              <w:rPr>
                <w:sz w:val="24"/>
              </w:rPr>
              <w:t>方式</w:t>
            </w:r>
          </w:p>
        </w:tc>
        <w:tc>
          <w:tcPr>
            <w:tcW w:w="7886" w:type="dxa"/>
          </w:tcPr>
          <w:p>
            <w:pPr>
              <w:pStyle w:val="14"/>
              <w:spacing w:before="237"/>
              <w:ind w:left="106"/>
              <w:rPr>
                <w:sz w:val="24"/>
              </w:rPr>
            </w:pPr>
            <w:r>
              <w:rPr>
                <w:rFonts w:hint="eastAsia"/>
                <w:sz w:val="24"/>
              </w:rPr>
              <w:t>纸质件签字盖章后</w:t>
            </w:r>
            <w:r>
              <w:rPr>
                <w:sz w:val="24"/>
              </w:rPr>
              <w:t>以快递</w:t>
            </w:r>
            <w:r>
              <w:rPr>
                <w:rFonts w:hint="eastAsia"/>
                <w:sz w:val="24"/>
              </w:rPr>
              <w:t>方式提交</w:t>
            </w:r>
            <w:r>
              <w:rPr>
                <w:sz w:val="24"/>
              </w:rPr>
              <w:t>、</w:t>
            </w:r>
            <w:r>
              <w:rPr>
                <w:rFonts w:hint="eastAsia"/>
                <w:sz w:val="24"/>
              </w:rPr>
              <w:t>电子版发送至</w:t>
            </w:r>
            <w:r>
              <w:rPr>
                <w:sz w:val="24"/>
              </w:rPr>
              <w:t>电子</w:t>
            </w:r>
            <w:r>
              <w:rPr>
                <w:rFonts w:hint="eastAsia"/>
                <w:sz w:val="24"/>
              </w:rPr>
              <w:t>邮箱</w:t>
            </w:r>
            <w:r>
              <w:rPr>
                <w:sz w:val="24"/>
              </w:rPr>
              <w:t>提交，以</w:t>
            </w:r>
            <w:r>
              <w:rPr>
                <w:rFonts w:hint="eastAsia"/>
                <w:sz w:val="24"/>
                <w:lang w:val="en-US" w:eastAsia="zh-CN"/>
              </w:rPr>
              <w:t>纸质文件</w:t>
            </w:r>
            <w:r>
              <w:rPr>
                <w:sz w:val="24"/>
              </w:rPr>
              <w:t>收件日期为准</w:t>
            </w:r>
            <w:r>
              <w:rPr>
                <w:rFonts w:hint="eastAsia"/>
                <w:sz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05" w:hRule="atLeast"/>
        </w:trPr>
        <w:tc>
          <w:tcPr>
            <w:tcW w:w="711" w:type="dxa"/>
          </w:tcPr>
          <w:p>
            <w:pPr>
              <w:pStyle w:val="14"/>
              <w:spacing w:line="380" w:lineRule="exact"/>
              <w:ind w:left="11"/>
              <w:jc w:val="center"/>
              <w:rPr>
                <w:sz w:val="24"/>
              </w:rPr>
            </w:pPr>
            <w:r>
              <w:rPr>
                <w:sz w:val="24"/>
              </w:rPr>
              <w:t>7</w:t>
            </w:r>
          </w:p>
        </w:tc>
        <w:tc>
          <w:tcPr>
            <w:tcW w:w="1243" w:type="dxa"/>
          </w:tcPr>
          <w:p>
            <w:pPr>
              <w:pStyle w:val="14"/>
              <w:spacing w:line="380" w:lineRule="exact"/>
              <w:ind w:left="7"/>
              <w:jc w:val="center"/>
              <w:rPr>
                <w:sz w:val="24"/>
              </w:rPr>
            </w:pPr>
            <w:r>
              <w:rPr>
                <w:sz w:val="24"/>
              </w:rPr>
              <w:t>询价响应文件份数</w:t>
            </w:r>
          </w:p>
        </w:tc>
        <w:tc>
          <w:tcPr>
            <w:tcW w:w="7886" w:type="dxa"/>
          </w:tcPr>
          <w:p>
            <w:pPr>
              <w:pStyle w:val="14"/>
              <w:spacing w:line="380" w:lineRule="exact"/>
              <w:ind w:left="106"/>
              <w:rPr>
                <w:sz w:val="24"/>
              </w:rPr>
            </w:pPr>
            <w:r>
              <w:rPr>
                <w:sz w:val="24"/>
              </w:rPr>
              <w:t>一式二份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287" w:hRule="atLeast"/>
        </w:trPr>
        <w:tc>
          <w:tcPr>
            <w:tcW w:w="711" w:type="dxa"/>
          </w:tcPr>
          <w:p>
            <w:pPr>
              <w:pStyle w:val="14"/>
              <w:rPr>
                <w:b/>
                <w:sz w:val="32"/>
              </w:rPr>
            </w:pPr>
          </w:p>
          <w:p>
            <w:pPr>
              <w:pStyle w:val="14"/>
              <w:spacing w:before="1"/>
              <w:rPr>
                <w:b/>
                <w:sz w:val="18"/>
              </w:rPr>
            </w:pPr>
          </w:p>
          <w:p>
            <w:pPr>
              <w:pStyle w:val="14"/>
              <w:spacing w:before="1"/>
              <w:ind w:left="11"/>
              <w:jc w:val="center"/>
              <w:rPr>
                <w:sz w:val="24"/>
              </w:rPr>
            </w:pPr>
            <w:r>
              <w:rPr>
                <w:sz w:val="24"/>
              </w:rPr>
              <w:t>8</w:t>
            </w:r>
          </w:p>
        </w:tc>
        <w:tc>
          <w:tcPr>
            <w:tcW w:w="1243" w:type="dxa"/>
          </w:tcPr>
          <w:p>
            <w:pPr>
              <w:pStyle w:val="14"/>
              <w:spacing w:before="4"/>
              <w:rPr>
                <w:b/>
                <w:sz w:val="42"/>
              </w:rPr>
            </w:pPr>
          </w:p>
          <w:p>
            <w:pPr>
              <w:pStyle w:val="14"/>
              <w:spacing w:line="206" w:lineRule="auto"/>
              <w:ind w:right="200"/>
              <w:rPr>
                <w:sz w:val="24"/>
              </w:rPr>
            </w:pPr>
            <w:r>
              <w:rPr>
                <w:sz w:val="24"/>
              </w:rPr>
              <w:t>询价响应文件递交截止时间及地点</w:t>
            </w:r>
          </w:p>
        </w:tc>
        <w:tc>
          <w:tcPr>
            <w:tcW w:w="7886" w:type="dxa"/>
          </w:tcPr>
          <w:p>
            <w:pPr>
              <w:pStyle w:val="14"/>
              <w:spacing w:line="386" w:lineRule="exact"/>
              <w:ind w:left="106"/>
              <w:rPr>
                <w:sz w:val="24"/>
              </w:rPr>
            </w:pPr>
            <w:r>
              <w:rPr>
                <w:sz w:val="24"/>
              </w:rPr>
              <w:t>截止时间：20</w:t>
            </w:r>
            <w:r>
              <w:rPr>
                <w:rFonts w:hint="eastAsia"/>
                <w:sz w:val="24"/>
                <w:lang w:val="en-US"/>
              </w:rPr>
              <w:t>21</w:t>
            </w:r>
            <w:r>
              <w:rPr>
                <w:sz w:val="24"/>
              </w:rPr>
              <w:t xml:space="preserve"> 年 </w:t>
            </w:r>
            <w:r>
              <w:rPr>
                <w:rFonts w:hint="eastAsia"/>
                <w:sz w:val="24"/>
              </w:rPr>
              <w:t>11</w:t>
            </w:r>
            <w:r>
              <w:rPr>
                <w:sz w:val="24"/>
              </w:rPr>
              <w:t xml:space="preserve"> 月</w:t>
            </w:r>
            <w:r>
              <w:rPr>
                <w:rFonts w:hint="eastAsia"/>
                <w:sz w:val="24"/>
                <w:lang w:val="en-US"/>
              </w:rPr>
              <w:t>22</w:t>
            </w:r>
            <w:r>
              <w:rPr>
                <w:sz w:val="24"/>
              </w:rPr>
              <w:t>日</w:t>
            </w:r>
          </w:p>
          <w:p>
            <w:pPr>
              <w:pStyle w:val="14"/>
              <w:spacing w:before="12" w:line="206" w:lineRule="auto"/>
              <w:ind w:left="106" w:right="540"/>
              <w:rPr>
                <w:sz w:val="24"/>
                <w:lang w:val="en-US"/>
              </w:rPr>
            </w:pPr>
            <w:r>
              <w:rPr>
                <w:sz w:val="24"/>
              </w:rPr>
              <w:t>递交（邮寄）地点：云南省</w:t>
            </w:r>
            <w:r>
              <w:rPr>
                <w:rFonts w:hint="eastAsia"/>
                <w:sz w:val="24"/>
              </w:rPr>
              <w:t>昆明市呈贡区上海东盟商务大厦</w:t>
            </w:r>
            <w:r>
              <w:rPr>
                <w:rFonts w:hint="eastAsia"/>
                <w:sz w:val="24"/>
                <w:lang w:val="en-US"/>
              </w:rPr>
              <w:t>B座。</w:t>
            </w:r>
          </w:p>
          <w:p>
            <w:pPr>
              <w:pStyle w:val="14"/>
              <w:spacing w:before="12" w:line="206" w:lineRule="auto"/>
              <w:ind w:left="106" w:right="540"/>
              <w:rPr>
                <w:sz w:val="24"/>
                <w:lang w:val="en-US"/>
              </w:rPr>
            </w:pPr>
            <w:r>
              <w:rPr>
                <w:sz w:val="24"/>
              </w:rPr>
              <w:t>收件单位：云南省</w:t>
            </w:r>
            <w:r>
              <w:rPr>
                <w:rFonts w:hint="eastAsia"/>
                <w:sz w:val="24"/>
              </w:rPr>
              <w:t>昆明市呈贡区上海东盟商务大厦</w:t>
            </w:r>
            <w:r>
              <w:rPr>
                <w:rFonts w:hint="eastAsia"/>
                <w:sz w:val="24"/>
                <w:lang w:val="en-US"/>
              </w:rPr>
              <w:t>B座603室。</w:t>
            </w:r>
          </w:p>
          <w:p>
            <w:pPr>
              <w:pStyle w:val="14"/>
              <w:spacing w:line="366" w:lineRule="exact"/>
              <w:ind w:left="106"/>
              <w:rPr>
                <w:sz w:val="24"/>
                <w:lang w:val="en-US"/>
              </w:rPr>
            </w:pPr>
            <w:r>
              <w:rPr>
                <w:rFonts w:hint="eastAsia"/>
                <w:sz w:val="24"/>
              </w:rPr>
              <w:t>收</w:t>
            </w:r>
            <w:r>
              <w:rPr>
                <w:sz w:val="24"/>
              </w:rPr>
              <w:t>件人：</w:t>
            </w:r>
            <w:r>
              <w:rPr>
                <w:rFonts w:hint="eastAsia"/>
                <w:sz w:val="24"/>
                <w:lang w:val="en-US"/>
              </w:rPr>
              <w:t>教育督导室（基建）</w:t>
            </w:r>
          </w:p>
          <w:p>
            <w:pPr>
              <w:pStyle w:val="14"/>
              <w:spacing w:line="379" w:lineRule="exact"/>
              <w:ind w:left="106"/>
              <w:rPr>
                <w:sz w:val="24"/>
                <w:lang w:val="en-US"/>
              </w:rPr>
            </w:pPr>
            <w:r>
              <w:rPr>
                <w:sz w:val="24"/>
              </w:rPr>
              <w:t>联系电话</w:t>
            </w:r>
            <w:r>
              <w:rPr>
                <w:sz w:val="24"/>
                <w:lang w:val="en-US"/>
              </w:rPr>
              <w:t>：</w:t>
            </w:r>
            <w:r>
              <w:rPr>
                <w:rFonts w:hint="eastAsia"/>
                <w:sz w:val="24"/>
                <w:lang w:val="en-US"/>
              </w:rPr>
              <w:t>0871—67476558</w:t>
            </w:r>
          </w:p>
          <w:p>
            <w:pPr>
              <w:pStyle w:val="14"/>
              <w:spacing w:line="379" w:lineRule="exact"/>
              <w:ind w:left="106"/>
              <w:rPr>
                <w:sz w:val="24"/>
                <w:lang w:val="en-US"/>
              </w:rPr>
            </w:pPr>
            <w:r>
              <w:rPr>
                <w:sz w:val="24"/>
              </w:rPr>
              <w:t>电子邮箱</w:t>
            </w:r>
            <w:r>
              <w:rPr>
                <w:sz w:val="24"/>
                <w:lang w:val="en-US"/>
              </w:rPr>
              <w:t>：</w:t>
            </w:r>
            <w:r>
              <w:rPr>
                <w:rFonts w:hint="eastAsia"/>
                <w:sz w:val="24"/>
                <w:lang w:val="en-US"/>
              </w:rPr>
              <w:t>2016940064@qq.com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89" w:hRule="atLeast"/>
        </w:trPr>
        <w:tc>
          <w:tcPr>
            <w:tcW w:w="711" w:type="dxa"/>
          </w:tcPr>
          <w:p>
            <w:pPr>
              <w:pStyle w:val="14"/>
              <w:spacing w:before="179"/>
              <w:ind w:left="11"/>
              <w:jc w:val="center"/>
              <w:rPr>
                <w:sz w:val="24"/>
              </w:rPr>
            </w:pPr>
            <w:r>
              <w:rPr>
                <w:sz w:val="24"/>
              </w:rPr>
              <w:t>9</w:t>
            </w:r>
          </w:p>
        </w:tc>
        <w:tc>
          <w:tcPr>
            <w:tcW w:w="1243" w:type="dxa"/>
          </w:tcPr>
          <w:p>
            <w:pPr>
              <w:pStyle w:val="14"/>
              <w:spacing w:before="179"/>
              <w:ind w:left="7"/>
              <w:jc w:val="center"/>
              <w:rPr>
                <w:sz w:val="24"/>
              </w:rPr>
            </w:pPr>
            <w:r>
              <w:rPr>
                <w:sz w:val="24"/>
              </w:rPr>
              <w:t>评标方法</w:t>
            </w:r>
          </w:p>
        </w:tc>
        <w:tc>
          <w:tcPr>
            <w:tcW w:w="7886" w:type="dxa"/>
          </w:tcPr>
          <w:p>
            <w:pPr>
              <w:pStyle w:val="14"/>
              <w:spacing w:before="179"/>
              <w:ind w:left="106"/>
              <w:rPr>
                <w:rFonts w:hint="default" w:eastAsia="微软雅黑"/>
                <w:sz w:val="24"/>
                <w:lang w:val="en-US" w:eastAsia="zh-CN"/>
              </w:rPr>
            </w:pPr>
            <w:r>
              <w:rPr>
                <w:rFonts w:hint="eastAsia"/>
                <w:sz w:val="24"/>
                <w:lang w:val="en-US" w:eastAsia="zh-CN"/>
              </w:rPr>
              <w:t>服务质量要求同等条件下低价中标。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377" w:hRule="atLeast"/>
        </w:trPr>
        <w:tc>
          <w:tcPr>
            <w:tcW w:w="711" w:type="dxa"/>
          </w:tcPr>
          <w:p>
            <w:pPr>
              <w:pStyle w:val="14"/>
              <w:spacing w:before="14"/>
              <w:rPr>
                <w:b/>
                <w:sz w:val="39"/>
              </w:rPr>
            </w:pPr>
          </w:p>
          <w:p>
            <w:pPr>
              <w:pStyle w:val="14"/>
              <w:spacing w:before="1"/>
              <w:ind w:right="280"/>
              <w:jc w:val="right"/>
              <w:rPr>
                <w:sz w:val="24"/>
              </w:rPr>
            </w:pPr>
            <w:r>
              <w:rPr>
                <w:sz w:val="24"/>
              </w:rPr>
              <w:t>10</w:t>
            </w:r>
          </w:p>
        </w:tc>
        <w:tc>
          <w:tcPr>
            <w:tcW w:w="1243" w:type="dxa"/>
          </w:tcPr>
          <w:p>
            <w:pPr>
              <w:pStyle w:val="14"/>
              <w:spacing w:before="14"/>
              <w:rPr>
                <w:b/>
                <w:sz w:val="39"/>
              </w:rPr>
            </w:pPr>
          </w:p>
          <w:p>
            <w:pPr>
              <w:pStyle w:val="14"/>
              <w:spacing w:before="1"/>
              <w:jc w:val="both"/>
              <w:rPr>
                <w:sz w:val="24"/>
              </w:rPr>
            </w:pPr>
            <w:r>
              <w:rPr>
                <w:sz w:val="24"/>
              </w:rPr>
              <w:t>询价响应要求</w:t>
            </w:r>
          </w:p>
        </w:tc>
        <w:tc>
          <w:tcPr>
            <w:tcW w:w="7886" w:type="dxa"/>
          </w:tcPr>
          <w:p>
            <w:pPr>
              <w:pStyle w:val="14"/>
              <w:spacing w:before="12" w:line="206" w:lineRule="auto"/>
              <w:ind w:left="106" w:right="94"/>
              <w:rPr>
                <w:sz w:val="24"/>
              </w:rPr>
            </w:pPr>
            <w:r>
              <w:rPr>
                <w:rFonts w:hint="eastAsia"/>
                <w:sz w:val="24"/>
                <w:lang w:val="en-US"/>
              </w:rPr>
              <w:t>1</w:t>
            </w:r>
            <w:r>
              <w:rPr>
                <w:rFonts w:hint="eastAsia"/>
                <w:sz w:val="24"/>
                <w:lang w:val="en-US" w:eastAsia="zh-CN"/>
              </w:rPr>
              <w:t>.</w:t>
            </w:r>
            <w:r>
              <w:rPr>
                <w:sz w:val="24"/>
              </w:rPr>
              <w:t>询价响应单位应充分考虑自身实力、市场风险等因素，合理报价。</w:t>
            </w:r>
          </w:p>
          <w:p>
            <w:pPr>
              <w:pStyle w:val="14"/>
              <w:spacing w:line="366" w:lineRule="exact"/>
              <w:ind w:left="106"/>
              <w:rPr>
                <w:sz w:val="24"/>
              </w:rPr>
            </w:pPr>
            <w:r>
              <w:rPr>
                <w:rFonts w:hint="eastAsia"/>
                <w:sz w:val="24"/>
                <w:lang w:val="en-US" w:eastAsia="zh-CN"/>
              </w:rPr>
              <w:t>2.</w:t>
            </w:r>
            <w:r>
              <w:rPr>
                <w:sz w:val="24"/>
              </w:rPr>
              <w:t>询价响应单位应将</w:t>
            </w:r>
            <w:r>
              <w:rPr>
                <w:rFonts w:hint="eastAsia"/>
                <w:sz w:val="24"/>
                <w:lang w:val="en-US"/>
              </w:rPr>
              <w:t>服务外出</w:t>
            </w:r>
            <w:r>
              <w:rPr>
                <w:sz w:val="24"/>
              </w:rPr>
              <w:t>交通费、误餐费等</w:t>
            </w:r>
            <w:r>
              <w:rPr>
                <w:rFonts w:hint="eastAsia"/>
                <w:sz w:val="24"/>
              </w:rPr>
              <w:t>与本次</w:t>
            </w:r>
            <w:r>
              <w:rPr>
                <w:rFonts w:hint="eastAsia"/>
                <w:sz w:val="24"/>
                <w:lang w:val="en-US"/>
              </w:rPr>
              <w:t>报价</w:t>
            </w:r>
            <w:r>
              <w:rPr>
                <w:rFonts w:hint="eastAsia"/>
                <w:sz w:val="24"/>
              </w:rPr>
              <w:t>相关</w:t>
            </w:r>
            <w:r>
              <w:rPr>
                <w:sz w:val="24"/>
              </w:rPr>
              <w:t>费用考虑在内，</w:t>
            </w:r>
            <w:r>
              <w:rPr>
                <w:rFonts w:hint="eastAsia"/>
                <w:sz w:val="24"/>
                <w:lang w:val="en-US"/>
              </w:rPr>
              <w:t>完成年度学校建设工程项目第三方服务</w:t>
            </w:r>
            <w:r>
              <w:rPr>
                <w:sz w:val="24"/>
              </w:rPr>
              <w:t>任务报价总和即为询价响应价格。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52" w:hRule="atLeast"/>
        </w:trPr>
        <w:tc>
          <w:tcPr>
            <w:tcW w:w="711" w:type="dxa"/>
          </w:tcPr>
          <w:p>
            <w:pPr>
              <w:pStyle w:val="14"/>
              <w:spacing w:before="1"/>
              <w:ind w:right="280"/>
              <w:jc w:val="right"/>
              <w:rPr>
                <w:sz w:val="24"/>
                <w:lang w:val="en-US"/>
              </w:rPr>
            </w:pPr>
            <w:r>
              <w:rPr>
                <w:rFonts w:hint="eastAsia"/>
                <w:sz w:val="24"/>
                <w:lang w:val="en-US"/>
              </w:rPr>
              <w:t>11</w:t>
            </w:r>
          </w:p>
        </w:tc>
        <w:tc>
          <w:tcPr>
            <w:tcW w:w="1243" w:type="dxa"/>
          </w:tcPr>
          <w:p>
            <w:pPr>
              <w:pStyle w:val="14"/>
              <w:spacing w:before="238"/>
              <w:ind w:left="7"/>
              <w:jc w:val="center"/>
              <w:rPr>
                <w:sz w:val="24"/>
              </w:rPr>
            </w:pPr>
            <w:r>
              <w:rPr>
                <w:sz w:val="24"/>
              </w:rPr>
              <w:t>付款方式</w:t>
            </w:r>
          </w:p>
        </w:tc>
        <w:tc>
          <w:tcPr>
            <w:tcW w:w="7886" w:type="dxa"/>
          </w:tcPr>
          <w:p>
            <w:pPr>
              <w:pStyle w:val="14"/>
              <w:spacing w:line="383" w:lineRule="exact"/>
              <w:ind w:left="106"/>
              <w:rPr>
                <w:sz w:val="24"/>
              </w:rPr>
            </w:pPr>
            <w:r>
              <w:rPr>
                <w:rFonts w:hint="eastAsia"/>
                <w:sz w:val="24"/>
              </w:rPr>
              <w:t>签订合同后先付款</w:t>
            </w:r>
            <w:r>
              <w:rPr>
                <w:rFonts w:hint="eastAsia"/>
                <w:sz w:val="24"/>
                <w:lang w:val="en-US"/>
              </w:rPr>
              <w:t>30</w:t>
            </w:r>
            <w:r>
              <w:rPr>
                <w:rFonts w:hint="eastAsia"/>
                <w:sz w:val="24"/>
              </w:rPr>
              <w:t>%，202</w:t>
            </w:r>
            <w:r>
              <w:rPr>
                <w:rFonts w:hint="eastAsia"/>
                <w:sz w:val="24"/>
                <w:lang w:val="en-US"/>
              </w:rPr>
              <w:t>2</w:t>
            </w:r>
            <w:r>
              <w:rPr>
                <w:rFonts w:hint="eastAsia"/>
                <w:sz w:val="24"/>
              </w:rPr>
              <w:t>年支付合同尾款。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897" w:hRule="atLeast"/>
        </w:trPr>
        <w:tc>
          <w:tcPr>
            <w:tcW w:w="711" w:type="dxa"/>
          </w:tcPr>
          <w:p>
            <w:pPr>
              <w:pStyle w:val="14"/>
              <w:spacing w:before="1"/>
              <w:ind w:right="280"/>
              <w:jc w:val="right"/>
              <w:rPr>
                <w:sz w:val="24"/>
                <w:lang w:val="en-US"/>
              </w:rPr>
            </w:pPr>
            <w:r>
              <w:rPr>
                <w:rFonts w:hint="eastAsia"/>
                <w:sz w:val="24"/>
                <w:lang w:val="en-US"/>
              </w:rPr>
              <w:t>12</w:t>
            </w:r>
          </w:p>
        </w:tc>
        <w:tc>
          <w:tcPr>
            <w:tcW w:w="1243" w:type="dxa"/>
          </w:tcPr>
          <w:p>
            <w:pPr>
              <w:pStyle w:val="14"/>
              <w:jc w:val="both"/>
              <w:rPr>
                <w:rFonts w:ascii="Times New Roman"/>
                <w:sz w:val="32"/>
              </w:rPr>
            </w:pPr>
          </w:p>
          <w:p>
            <w:pPr>
              <w:pStyle w:val="14"/>
              <w:jc w:val="both"/>
              <w:rPr>
                <w:rFonts w:ascii="Times New Roman"/>
                <w:sz w:val="32"/>
              </w:rPr>
            </w:pPr>
          </w:p>
          <w:p>
            <w:pPr>
              <w:pStyle w:val="14"/>
              <w:jc w:val="center"/>
              <w:rPr>
                <w:sz w:val="24"/>
              </w:rPr>
            </w:pPr>
            <w:r>
              <w:rPr>
                <w:sz w:val="24"/>
              </w:rPr>
              <w:t>询价要求</w:t>
            </w:r>
          </w:p>
        </w:tc>
        <w:tc>
          <w:tcPr>
            <w:tcW w:w="7886" w:type="dxa"/>
          </w:tcPr>
          <w:p>
            <w:pPr>
              <w:pStyle w:val="14"/>
              <w:spacing w:line="383" w:lineRule="exact"/>
              <w:ind w:left="106"/>
              <w:jc w:val="both"/>
              <w:rPr>
                <w:sz w:val="24"/>
              </w:rPr>
            </w:pPr>
            <w:r>
              <w:rPr>
                <w:rFonts w:hint="eastAsia"/>
                <w:sz w:val="24"/>
              </w:rPr>
              <w:t>1</w:t>
            </w:r>
            <w:r>
              <w:rPr>
                <w:rFonts w:hint="eastAsia"/>
                <w:sz w:val="24"/>
                <w:lang w:val="en-US" w:eastAsia="zh-CN"/>
              </w:rPr>
              <w:t>.</w:t>
            </w:r>
            <w:r>
              <w:rPr>
                <w:rFonts w:hint="eastAsia"/>
                <w:sz w:val="24"/>
              </w:rPr>
              <w:t>承接机构在签订合同后须</w:t>
            </w:r>
            <w:r>
              <w:rPr>
                <w:rFonts w:hint="eastAsia"/>
                <w:sz w:val="24"/>
                <w:lang w:val="en-US"/>
              </w:rPr>
              <w:t>完成年度学校建设工程项目第三方服务</w:t>
            </w:r>
            <w:r>
              <w:rPr>
                <w:sz w:val="24"/>
              </w:rPr>
              <w:t>任务</w:t>
            </w:r>
            <w:r>
              <w:rPr>
                <w:rFonts w:hint="eastAsia"/>
                <w:sz w:val="24"/>
              </w:rPr>
              <w:t>，保证随叫随到。</w:t>
            </w:r>
          </w:p>
          <w:p>
            <w:pPr>
              <w:pStyle w:val="14"/>
              <w:spacing w:line="383" w:lineRule="exact"/>
              <w:ind w:left="106"/>
              <w:jc w:val="both"/>
              <w:rPr>
                <w:sz w:val="24"/>
              </w:rPr>
            </w:pPr>
            <w:r>
              <w:rPr>
                <w:rFonts w:hint="eastAsia"/>
                <w:sz w:val="24"/>
              </w:rPr>
              <w:t>2. 承接机构须与呈贡区教育体育局签订</w:t>
            </w:r>
            <w:r>
              <w:rPr>
                <w:rFonts w:hint="eastAsia"/>
                <w:sz w:val="24"/>
                <w:lang w:val="en-US"/>
              </w:rPr>
              <w:t>工程业务</w:t>
            </w:r>
            <w:r>
              <w:rPr>
                <w:rFonts w:hint="eastAsia"/>
                <w:sz w:val="24"/>
              </w:rPr>
              <w:t>服务保密协议，做好风险防控，保障信息安全。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trPr>
        <w:tc>
          <w:tcPr>
            <w:tcW w:w="711" w:type="dxa"/>
          </w:tcPr>
          <w:p>
            <w:pPr>
              <w:pStyle w:val="14"/>
              <w:spacing w:before="1"/>
              <w:ind w:right="280"/>
              <w:jc w:val="right"/>
              <w:rPr>
                <w:sz w:val="24"/>
                <w:lang w:val="en-US"/>
              </w:rPr>
            </w:pPr>
            <w:r>
              <w:rPr>
                <w:rFonts w:hint="eastAsia"/>
                <w:sz w:val="24"/>
                <w:lang w:val="en-US"/>
              </w:rPr>
              <w:t>13</w:t>
            </w:r>
          </w:p>
        </w:tc>
        <w:tc>
          <w:tcPr>
            <w:tcW w:w="1243" w:type="dxa"/>
          </w:tcPr>
          <w:p>
            <w:pPr>
              <w:pStyle w:val="14"/>
              <w:spacing w:before="233"/>
              <w:ind w:left="7"/>
              <w:jc w:val="center"/>
              <w:rPr>
                <w:sz w:val="24"/>
              </w:rPr>
            </w:pPr>
            <w:r>
              <w:rPr>
                <w:sz w:val="24"/>
              </w:rPr>
              <w:t>其他</w:t>
            </w:r>
          </w:p>
        </w:tc>
        <w:tc>
          <w:tcPr>
            <w:tcW w:w="7886" w:type="dxa"/>
          </w:tcPr>
          <w:p>
            <w:pPr>
              <w:pStyle w:val="14"/>
              <w:spacing w:before="43" w:line="411" w:lineRule="exact"/>
              <w:ind w:left="106"/>
              <w:rPr>
                <w:sz w:val="24"/>
              </w:rPr>
            </w:pPr>
            <w:r>
              <w:rPr>
                <w:sz w:val="24"/>
              </w:rPr>
              <w:t>1</w:t>
            </w:r>
            <w:r>
              <w:rPr>
                <w:rFonts w:hint="eastAsia"/>
                <w:sz w:val="24"/>
                <w:lang w:val="en-US" w:eastAsia="zh-CN"/>
              </w:rPr>
              <w:t>.</w:t>
            </w:r>
            <w:r>
              <w:rPr>
                <w:sz w:val="24"/>
              </w:rPr>
              <w:t>询价响应文件一律不予退还；</w:t>
            </w:r>
          </w:p>
          <w:p>
            <w:pPr>
              <w:pStyle w:val="14"/>
              <w:spacing w:line="399" w:lineRule="exact"/>
              <w:ind w:left="106"/>
              <w:rPr>
                <w:sz w:val="24"/>
              </w:rPr>
            </w:pPr>
            <w:r>
              <w:rPr>
                <w:sz w:val="24"/>
              </w:rPr>
              <w:t>2</w:t>
            </w:r>
            <w:r>
              <w:rPr>
                <w:rFonts w:hint="eastAsia"/>
                <w:sz w:val="24"/>
                <w:lang w:val="en-US" w:eastAsia="zh-CN"/>
              </w:rPr>
              <w:t>.</w:t>
            </w:r>
            <w:r>
              <w:rPr>
                <w:sz w:val="24"/>
              </w:rPr>
              <w:t>本询价文件的最终解释权归</w:t>
            </w:r>
            <w:r>
              <w:rPr>
                <w:rFonts w:hint="eastAsia"/>
                <w:sz w:val="24"/>
              </w:rPr>
              <w:t>昆明市呈贡区教育体育局</w:t>
            </w:r>
            <w:r>
              <w:rPr>
                <w:sz w:val="24"/>
              </w:rPr>
              <w:t>。</w:t>
            </w:r>
          </w:p>
        </w:tc>
      </w:tr>
    </w:tbl>
    <w:p>
      <w:pPr>
        <w:pStyle w:val="5"/>
        <w:spacing w:before="6"/>
      </w:pPr>
    </w:p>
    <w:p>
      <w:pPr>
        <w:pStyle w:val="5"/>
        <w:spacing w:before="6"/>
        <w:rPr>
          <w:b/>
          <w:sz w:val="32"/>
        </w:rPr>
      </w:pPr>
    </w:p>
    <w:p>
      <w:pPr>
        <w:pStyle w:val="5"/>
        <w:spacing w:before="6"/>
        <w:jc w:val="center"/>
        <w:rPr>
          <w:rFonts w:hint="eastAsia"/>
          <w:b/>
          <w:sz w:val="32"/>
        </w:rPr>
      </w:pPr>
    </w:p>
    <w:p>
      <w:pPr>
        <w:pStyle w:val="5"/>
        <w:spacing w:before="6"/>
        <w:jc w:val="center"/>
        <w:rPr>
          <w:b/>
          <w:sz w:val="32"/>
        </w:rPr>
      </w:pPr>
      <w:r>
        <w:rPr>
          <w:rFonts w:hint="eastAsia"/>
          <w:b/>
          <w:sz w:val="32"/>
        </w:rPr>
        <w:t>二、</w:t>
      </w:r>
      <w:r>
        <w:rPr>
          <w:b/>
          <w:sz w:val="32"/>
        </w:rPr>
        <w:t>检</w:t>
      </w:r>
      <w:r>
        <w:rPr>
          <w:rFonts w:hint="eastAsia"/>
          <w:b/>
          <w:sz w:val="32"/>
        </w:rPr>
        <w:t>测项目</w:t>
      </w:r>
      <w:r>
        <w:rPr>
          <w:b/>
          <w:sz w:val="32"/>
        </w:rPr>
        <w:t>明细</w:t>
      </w:r>
    </w:p>
    <w:tbl>
      <w:tblPr>
        <w:tblStyle w:val="10"/>
        <w:tblW w:w="9820" w:type="dxa"/>
        <w:tblInd w:w="2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9"/>
        <w:gridCol w:w="4500"/>
        <w:gridCol w:w="2467"/>
        <w:gridCol w:w="18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89" w:type="dxa"/>
            <w:shd w:val="clear" w:color="auto" w:fill="auto"/>
            <w:noWrap/>
          </w:tcPr>
          <w:p>
            <w:pPr>
              <w:pStyle w:val="14"/>
              <w:jc w:val="both"/>
              <w:rPr>
                <w:rFonts w:ascii="Times New Roman"/>
                <w:sz w:val="32"/>
              </w:rPr>
            </w:pPr>
            <w:r>
              <w:rPr>
                <w:rFonts w:hint="eastAsia" w:ascii="Times New Roman"/>
                <w:sz w:val="32"/>
              </w:rPr>
              <w:t>序号</w:t>
            </w:r>
          </w:p>
        </w:tc>
        <w:tc>
          <w:tcPr>
            <w:tcW w:w="4500" w:type="dxa"/>
            <w:shd w:val="clear" w:color="auto" w:fill="auto"/>
            <w:noWrap/>
          </w:tcPr>
          <w:p>
            <w:pPr>
              <w:pStyle w:val="14"/>
              <w:jc w:val="both"/>
              <w:rPr>
                <w:rFonts w:ascii="Times New Roman"/>
                <w:sz w:val="32"/>
              </w:rPr>
            </w:pPr>
            <w:r>
              <w:rPr>
                <w:rFonts w:hint="eastAsia" w:ascii="Times New Roman"/>
                <w:sz w:val="32"/>
              </w:rPr>
              <w:t>服务项目</w:t>
            </w:r>
          </w:p>
        </w:tc>
        <w:tc>
          <w:tcPr>
            <w:tcW w:w="2467" w:type="dxa"/>
            <w:shd w:val="clear" w:color="auto" w:fill="auto"/>
            <w:noWrap/>
          </w:tcPr>
          <w:p>
            <w:pPr>
              <w:pStyle w:val="14"/>
              <w:jc w:val="both"/>
              <w:rPr>
                <w:rFonts w:ascii="Times New Roman"/>
                <w:sz w:val="32"/>
              </w:rPr>
            </w:pPr>
            <w:r>
              <w:rPr>
                <w:rFonts w:hint="eastAsia" w:ascii="Times New Roman"/>
                <w:sz w:val="32"/>
              </w:rPr>
              <w:t>评价标准</w:t>
            </w:r>
          </w:p>
        </w:tc>
        <w:tc>
          <w:tcPr>
            <w:tcW w:w="1864" w:type="dxa"/>
            <w:shd w:val="clear" w:color="auto" w:fill="auto"/>
            <w:noWrap/>
          </w:tcPr>
          <w:p>
            <w:pPr>
              <w:pStyle w:val="14"/>
              <w:jc w:val="both"/>
              <w:rPr>
                <w:rFonts w:ascii="Times New Roman"/>
                <w:sz w:val="32"/>
              </w:rPr>
            </w:pPr>
            <w:r>
              <w:rPr>
                <w:rFonts w:hint="eastAsia" w:ascii="Times New Roman"/>
                <w:sz w:val="3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5" w:hRule="atLeast"/>
        </w:trPr>
        <w:tc>
          <w:tcPr>
            <w:tcW w:w="989" w:type="dxa"/>
            <w:shd w:val="clear" w:color="auto" w:fill="auto"/>
            <w:noWrap/>
            <w:vAlign w:val="center"/>
          </w:tcPr>
          <w:p>
            <w:pPr>
              <w:pStyle w:val="14"/>
              <w:spacing w:before="43" w:line="411" w:lineRule="exact"/>
              <w:ind w:left="106"/>
              <w:jc w:val="center"/>
              <w:rPr>
                <w:sz w:val="24"/>
              </w:rPr>
            </w:pPr>
            <w:r>
              <w:rPr>
                <w:rFonts w:hint="eastAsia"/>
                <w:sz w:val="24"/>
              </w:rPr>
              <w:t>1</w:t>
            </w:r>
          </w:p>
        </w:tc>
        <w:tc>
          <w:tcPr>
            <w:tcW w:w="4500" w:type="dxa"/>
            <w:shd w:val="clear" w:color="auto" w:fill="auto"/>
            <w:noWrap/>
            <w:vAlign w:val="center"/>
          </w:tcPr>
          <w:p>
            <w:pPr>
              <w:pStyle w:val="14"/>
              <w:spacing w:before="43" w:line="411" w:lineRule="exact"/>
              <w:ind w:left="106"/>
              <w:rPr>
                <w:sz w:val="24"/>
              </w:rPr>
            </w:pPr>
            <w:r>
              <w:rPr>
                <w:rFonts w:hint="eastAsia"/>
                <w:sz w:val="24"/>
              </w:rPr>
              <w:t>为</w:t>
            </w:r>
            <w:r>
              <w:rPr>
                <w:rFonts w:hint="eastAsia"/>
                <w:sz w:val="24"/>
                <w:lang w:val="zh-TW"/>
              </w:rPr>
              <w:t>呈贡区教育体育局</w:t>
            </w:r>
            <w:r>
              <w:rPr>
                <w:rFonts w:hint="eastAsia"/>
                <w:sz w:val="24"/>
              </w:rPr>
              <w:t>提供2021年在建及</w:t>
            </w:r>
            <w:r>
              <w:rPr>
                <w:rFonts w:hint="eastAsia"/>
                <w:sz w:val="24"/>
                <w:lang w:val="en-US"/>
              </w:rPr>
              <w:t>2022</w:t>
            </w:r>
            <w:r>
              <w:rPr>
                <w:rFonts w:hint="eastAsia"/>
                <w:sz w:val="24"/>
              </w:rPr>
              <w:t>计划拟建</w:t>
            </w:r>
            <w:r>
              <w:rPr>
                <w:rFonts w:hint="eastAsia"/>
                <w:sz w:val="24"/>
                <w:lang w:val="en-US"/>
              </w:rPr>
              <w:t>的</w:t>
            </w:r>
            <w:r>
              <w:rPr>
                <w:rFonts w:hint="eastAsia"/>
                <w:sz w:val="24"/>
              </w:rPr>
              <w:t>学校建设项目的工程造价技术咨询服务，对项目的建安工程进行分析性审查，并出具分析报告。</w:t>
            </w:r>
          </w:p>
        </w:tc>
        <w:tc>
          <w:tcPr>
            <w:tcW w:w="2467" w:type="dxa"/>
            <w:vMerge w:val="restart"/>
            <w:shd w:val="clear" w:color="auto" w:fill="auto"/>
            <w:noWrap/>
            <w:vAlign w:val="center"/>
          </w:tcPr>
          <w:p>
            <w:pPr>
              <w:pStyle w:val="14"/>
              <w:spacing w:before="43" w:line="411" w:lineRule="exact"/>
              <w:ind w:left="106"/>
              <w:rPr>
                <w:sz w:val="24"/>
                <w:lang w:val="en-US"/>
              </w:rPr>
            </w:pPr>
            <w:r>
              <w:rPr>
                <w:rFonts w:hint="eastAsia"/>
                <w:sz w:val="24"/>
              </w:rPr>
              <w:t>《</w:t>
            </w:r>
            <w:r>
              <w:rPr>
                <w:rFonts w:hint="eastAsia"/>
                <w:sz w:val="24"/>
                <w:lang w:val="en-US"/>
              </w:rPr>
              <w:t>昆明市呈贡区推进政府购买服务实施意见（暂行）</w:t>
            </w:r>
          </w:p>
          <w:p>
            <w:pPr>
              <w:pStyle w:val="14"/>
              <w:spacing w:before="43" w:line="411" w:lineRule="exact"/>
              <w:ind w:left="106"/>
              <w:rPr>
                <w:sz w:val="24"/>
              </w:rPr>
            </w:pPr>
            <w:r>
              <w:rPr>
                <w:rFonts w:hint="eastAsia"/>
                <w:sz w:val="24"/>
                <w:lang w:val="en-US"/>
              </w:rPr>
              <w:t>》《昆明市财政局关于印发2020年昆明市市本级政府购买服务指导性目录的通知》</w:t>
            </w:r>
          </w:p>
        </w:tc>
        <w:tc>
          <w:tcPr>
            <w:tcW w:w="1864" w:type="dxa"/>
            <w:shd w:val="clear" w:color="auto" w:fill="auto"/>
            <w:noWrap/>
          </w:tcPr>
          <w:p>
            <w:pPr>
              <w:pStyle w:val="14"/>
              <w:jc w:val="center"/>
              <w:rPr>
                <w:rFonts w:ascii="Times New Roman"/>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5" w:hRule="atLeast"/>
        </w:trPr>
        <w:tc>
          <w:tcPr>
            <w:tcW w:w="989" w:type="dxa"/>
            <w:shd w:val="clear" w:color="auto" w:fill="auto"/>
            <w:noWrap/>
            <w:vAlign w:val="center"/>
          </w:tcPr>
          <w:p>
            <w:pPr>
              <w:pStyle w:val="14"/>
              <w:spacing w:before="43" w:line="411" w:lineRule="exact"/>
              <w:ind w:left="106"/>
              <w:jc w:val="center"/>
              <w:rPr>
                <w:sz w:val="24"/>
              </w:rPr>
            </w:pPr>
            <w:r>
              <w:rPr>
                <w:rFonts w:hint="eastAsia"/>
                <w:sz w:val="24"/>
              </w:rPr>
              <w:t>2</w:t>
            </w:r>
          </w:p>
        </w:tc>
        <w:tc>
          <w:tcPr>
            <w:tcW w:w="4500" w:type="dxa"/>
            <w:shd w:val="clear" w:color="auto" w:fill="auto"/>
            <w:noWrap/>
            <w:vAlign w:val="center"/>
          </w:tcPr>
          <w:p>
            <w:pPr>
              <w:pStyle w:val="14"/>
              <w:spacing w:before="43" w:line="411" w:lineRule="exact"/>
              <w:ind w:left="106"/>
              <w:rPr>
                <w:sz w:val="24"/>
              </w:rPr>
            </w:pPr>
            <w:r>
              <w:rPr>
                <w:rFonts w:hint="eastAsia"/>
                <w:sz w:val="24"/>
                <w:lang w:val="en-US"/>
              </w:rPr>
              <w:t>对</w:t>
            </w:r>
            <w:r>
              <w:rPr>
                <w:rFonts w:hint="eastAsia"/>
                <w:sz w:val="24"/>
                <w:lang w:val="zh-TW"/>
              </w:rPr>
              <w:t>呈贡区教育体育局</w:t>
            </w:r>
            <w:r>
              <w:rPr>
                <w:rFonts w:hint="eastAsia"/>
                <w:sz w:val="24"/>
                <w:lang w:val="en-US"/>
              </w:rPr>
              <w:t>谋划推进的学校建设</w:t>
            </w:r>
            <w:r>
              <w:rPr>
                <w:rFonts w:hint="eastAsia"/>
                <w:sz w:val="24"/>
                <w:lang w:val="zh-TW"/>
              </w:rPr>
              <w:t>项目</w:t>
            </w:r>
            <w:r>
              <w:rPr>
                <w:rFonts w:hint="eastAsia"/>
                <w:sz w:val="24"/>
                <w:lang w:val="zh-TW" w:eastAsia="zh-TW"/>
              </w:rPr>
              <w:t>提供</w:t>
            </w:r>
            <w:r>
              <w:rPr>
                <w:rFonts w:hint="eastAsia"/>
                <w:sz w:val="24"/>
                <w:lang w:val="zh-TW"/>
              </w:rPr>
              <w:t>工程造价技术咨询服务</w:t>
            </w:r>
            <w:r>
              <w:rPr>
                <w:rFonts w:hint="eastAsia"/>
                <w:sz w:val="24"/>
                <w:lang w:val="en-US"/>
              </w:rPr>
              <w:t>意见</w:t>
            </w:r>
            <w:r>
              <w:rPr>
                <w:rFonts w:hint="eastAsia"/>
                <w:sz w:val="24"/>
                <w:lang w:val="zh-TW"/>
              </w:rPr>
              <w:t>：包括</w:t>
            </w:r>
            <w:r>
              <w:rPr>
                <w:rFonts w:hint="eastAsia"/>
                <w:sz w:val="24"/>
                <w:lang w:val="en-US"/>
              </w:rPr>
              <w:t>但不限于项目立项、可行性研究阶段投资估算、初步设计结算投资概算、项目预（结）算评估等</w:t>
            </w:r>
            <w:r>
              <w:rPr>
                <w:rFonts w:hint="eastAsia"/>
                <w:sz w:val="24"/>
                <w:lang w:val="zh-TW" w:eastAsia="zh-TW"/>
              </w:rPr>
              <w:t>咨询服务</w:t>
            </w:r>
            <w:r>
              <w:rPr>
                <w:rFonts w:hint="eastAsia"/>
                <w:sz w:val="24"/>
                <w:lang w:val="zh-TW"/>
              </w:rPr>
              <w:t>。</w:t>
            </w:r>
          </w:p>
        </w:tc>
        <w:tc>
          <w:tcPr>
            <w:tcW w:w="2467" w:type="dxa"/>
            <w:vMerge w:val="continue"/>
            <w:shd w:val="clear" w:color="auto" w:fill="auto"/>
            <w:noWrap/>
            <w:vAlign w:val="center"/>
          </w:tcPr>
          <w:p>
            <w:pPr>
              <w:pStyle w:val="14"/>
              <w:jc w:val="center"/>
              <w:rPr>
                <w:rFonts w:ascii="Times New Roman"/>
                <w:sz w:val="32"/>
              </w:rPr>
            </w:pPr>
          </w:p>
        </w:tc>
        <w:tc>
          <w:tcPr>
            <w:tcW w:w="1864" w:type="dxa"/>
            <w:shd w:val="clear" w:color="auto" w:fill="auto"/>
            <w:noWrap/>
          </w:tcPr>
          <w:p>
            <w:pPr>
              <w:pStyle w:val="14"/>
              <w:jc w:val="center"/>
              <w:rPr>
                <w:rFonts w:ascii="Times New Roman"/>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5" w:hRule="atLeast"/>
        </w:trPr>
        <w:tc>
          <w:tcPr>
            <w:tcW w:w="989" w:type="dxa"/>
            <w:shd w:val="clear" w:color="auto" w:fill="auto"/>
            <w:noWrap/>
            <w:vAlign w:val="center"/>
          </w:tcPr>
          <w:p>
            <w:pPr>
              <w:pStyle w:val="14"/>
              <w:spacing w:before="43" w:line="411" w:lineRule="exact"/>
              <w:ind w:left="106"/>
              <w:jc w:val="center"/>
              <w:rPr>
                <w:sz w:val="24"/>
              </w:rPr>
            </w:pPr>
            <w:r>
              <w:rPr>
                <w:rFonts w:hint="eastAsia"/>
                <w:sz w:val="24"/>
              </w:rPr>
              <w:t>3</w:t>
            </w:r>
          </w:p>
        </w:tc>
        <w:tc>
          <w:tcPr>
            <w:tcW w:w="4500" w:type="dxa"/>
            <w:shd w:val="clear" w:color="auto" w:fill="auto"/>
            <w:noWrap/>
            <w:vAlign w:val="center"/>
          </w:tcPr>
          <w:p>
            <w:pPr>
              <w:pStyle w:val="14"/>
              <w:spacing w:before="43" w:line="411" w:lineRule="exact"/>
              <w:ind w:left="106"/>
              <w:rPr>
                <w:sz w:val="24"/>
              </w:rPr>
            </w:pPr>
            <w:r>
              <w:rPr>
                <w:rFonts w:hint="eastAsia"/>
                <w:sz w:val="24"/>
                <w:lang w:val="en-US"/>
              </w:rPr>
              <w:t>测算呈贡区新建扩建居住区配建教育基础设施所需学位的平均建设成本，提供教育代建金、教育配套设施装修、设施设备购置等相关事项的造价评估及测算咨询服务。</w:t>
            </w:r>
          </w:p>
        </w:tc>
        <w:tc>
          <w:tcPr>
            <w:tcW w:w="2467" w:type="dxa"/>
            <w:vMerge w:val="continue"/>
            <w:shd w:val="clear" w:color="auto" w:fill="auto"/>
            <w:noWrap/>
          </w:tcPr>
          <w:p>
            <w:pPr>
              <w:pStyle w:val="14"/>
              <w:jc w:val="center"/>
              <w:rPr>
                <w:rFonts w:ascii="Times New Roman"/>
                <w:sz w:val="32"/>
              </w:rPr>
            </w:pPr>
          </w:p>
        </w:tc>
        <w:tc>
          <w:tcPr>
            <w:tcW w:w="1864" w:type="dxa"/>
            <w:shd w:val="clear" w:color="auto" w:fill="auto"/>
            <w:noWrap/>
          </w:tcPr>
          <w:p>
            <w:pPr>
              <w:pStyle w:val="14"/>
              <w:jc w:val="center"/>
              <w:rPr>
                <w:rFonts w:ascii="Times New Roman"/>
                <w:sz w:val="32"/>
              </w:rPr>
            </w:pPr>
          </w:p>
        </w:tc>
      </w:tr>
    </w:tbl>
    <w:p>
      <w:pPr>
        <w:pStyle w:val="14"/>
        <w:jc w:val="center"/>
        <w:rPr>
          <w:rFonts w:ascii="Times New Roman"/>
          <w:sz w:val="32"/>
        </w:rPr>
      </w:pPr>
    </w:p>
    <w:p>
      <w:pPr>
        <w:pStyle w:val="5"/>
        <w:rPr>
          <w:rFonts w:ascii="Times New Roman"/>
          <w:sz w:val="20"/>
        </w:rPr>
      </w:pPr>
    </w:p>
    <w:p>
      <w:pPr>
        <w:pStyle w:val="5"/>
        <w:rPr>
          <w:rFonts w:ascii="Times New Roman"/>
          <w:sz w:val="20"/>
        </w:rPr>
      </w:pPr>
    </w:p>
    <w:p>
      <w:pPr>
        <w:pStyle w:val="5"/>
        <w:rPr>
          <w:rFonts w:ascii="Times New Roman"/>
          <w:sz w:val="20"/>
        </w:rPr>
      </w:pPr>
    </w:p>
    <w:p>
      <w:pPr>
        <w:pStyle w:val="5"/>
        <w:rPr>
          <w:rFonts w:ascii="Times New Roman"/>
          <w:sz w:val="20"/>
        </w:rPr>
      </w:pPr>
    </w:p>
    <w:p>
      <w:pPr>
        <w:pStyle w:val="5"/>
        <w:rPr>
          <w:rFonts w:ascii="Times New Roman"/>
          <w:sz w:val="20"/>
        </w:rPr>
      </w:pPr>
    </w:p>
    <w:p>
      <w:pPr>
        <w:spacing w:before="92"/>
        <w:ind w:right="557"/>
        <w:rPr>
          <w:rFonts w:ascii="Times New Roman"/>
        </w:rPr>
      </w:pPr>
    </w:p>
    <w:p>
      <w:pPr>
        <w:jc w:val="right"/>
        <w:rPr>
          <w:rFonts w:ascii="Times New Roman"/>
        </w:rPr>
        <w:sectPr>
          <w:headerReference r:id="rId5" w:type="default"/>
          <w:pgSz w:w="11910" w:h="16840"/>
          <w:pgMar w:top="1000" w:right="280" w:bottom="1440" w:left="1180" w:header="21" w:footer="0" w:gutter="0"/>
          <w:cols w:space="720" w:num="1"/>
        </w:sectPr>
      </w:pPr>
    </w:p>
    <w:p>
      <w:pPr>
        <w:pStyle w:val="2"/>
        <w:spacing w:before="146"/>
        <w:ind w:left="0" w:right="3396"/>
        <w:jc w:val="center"/>
        <w:rPr>
          <w:sz w:val="38"/>
        </w:rPr>
      </w:pPr>
      <w:bookmarkStart w:id="2" w:name="_TOC_250001"/>
      <w:bookmarkEnd w:id="2"/>
      <w:r>
        <w:rPr>
          <w:rFonts w:hint="eastAsia"/>
          <w:lang w:val="en-US" w:eastAsia="zh-CN"/>
        </w:rPr>
        <w:t xml:space="preserve">                                     </w:t>
      </w:r>
      <w:r>
        <w:t>三、评审办法</w:t>
      </w:r>
    </w:p>
    <w:p>
      <w:pPr>
        <w:pStyle w:val="13"/>
        <w:numPr>
          <w:ilvl w:val="1"/>
          <w:numId w:val="1"/>
        </w:numPr>
        <w:tabs>
          <w:tab w:val="left" w:pos="988"/>
        </w:tabs>
        <w:rPr>
          <w:sz w:val="24"/>
        </w:rPr>
      </w:pPr>
      <w:r>
        <w:rPr>
          <w:sz w:val="24"/>
        </w:rPr>
        <w:t>评标方法：</w:t>
      </w:r>
      <w:r>
        <w:rPr>
          <w:rFonts w:hint="eastAsia"/>
          <w:sz w:val="24"/>
          <w:lang w:val="en-US" w:eastAsia="zh-CN"/>
        </w:rPr>
        <w:t>服务质量要求同等条件下低价中标。</w:t>
      </w:r>
    </w:p>
    <w:p>
      <w:pPr>
        <w:pStyle w:val="13"/>
        <w:numPr>
          <w:ilvl w:val="1"/>
          <w:numId w:val="1"/>
        </w:numPr>
        <w:tabs>
          <w:tab w:val="left" w:pos="988"/>
        </w:tabs>
        <w:spacing w:before="117"/>
        <w:rPr>
          <w:sz w:val="24"/>
        </w:rPr>
      </w:pPr>
      <w:r>
        <w:rPr>
          <w:sz w:val="24"/>
        </w:rPr>
        <w:t>评审标准：</w:t>
      </w:r>
    </w:p>
    <w:p>
      <w:pPr>
        <w:pStyle w:val="5"/>
        <w:spacing w:before="119"/>
        <w:ind w:left="1069"/>
      </w:pPr>
      <w:r>
        <w:t>询价小组按照客观、公平、公正的原则进行评审。</w:t>
      </w:r>
    </w:p>
    <w:p>
      <w:pPr>
        <w:pStyle w:val="13"/>
        <w:numPr>
          <w:ilvl w:val="1"/>
          <w:numId w:val="1"/>
        </w:numPr>
        <w:tabs>
          <w:tab w:val="left" w:pos="988"/>
        </w:tabs>
        <w:spacing w:before="52"/>
        <w:rPr>
          <w:sz w:val="24"/>
        </w:rPr>
      </w:pPr>
      <w:r>
        <w:rPr>
          <w:sz w:val="24"/>
        </w:rPr>
        <w:t>在评审过程中，出现下列情形之一的，应作废标：</w:t>
      </w:r>
    </w:p>
    <w:p>
      <w:pPr>
        <w:pStyle w:val="13"/>
        <w:numPr>
          <w:ilvl w:val="2"/>
          <w:numId w:val="1"/>
        </w:numPr>
        <w:tabs>
          <w:tab w:val="left" w:pos="1188"/>
        </w:tabs>
        <w:spacing w:before="38"/>
        <w:ind w:hanging="599"/>
        <w:rPr>
          <w:sz w:val="24"/>
        </w:rPr>
      </w:pPr>
      <w:r>
        <w:rPr>
          <w:sz w:val="24"/>
        </w:rPr>
        <w:t>出现影响询价公正的违法、违规行为的；</w:t>
      </w:r>
    </w:p>
    <w:p>
      <w:pPr>
        <w:pStyle w:val="13"/>
        <w:numPr>
          <w:ilvl w:val="2"/>
          <w:numId w:val="1"/>
        </w:numPr>
        <w:tabs>
          <w:tab w:val="left" w:pos="1188"/>
        </w:tabs>
        <w:spacing w:before="37"/>
        <w:ind w:hanging="599"/>
        <w:rPr>
          <w:sz w:val="24"/>
        </w:rPr>
      </w:pPr>
      <w:r>
        <w:rPr>
          <w:sz w:val="24"/>
        </w:rPr>
        <w:t>所有询价响应单位报价均为无效标的；</w:t>
      </w:r>
    </w:p>
    <w:p>
      <w:pPr>
        <w:pStyle w:val="13"/>
        <w:numPr>
          <w:ilvl w:val="2"/>
          <w:numId w:val="1"/>
        </w:numPr>
        <w:tabs>
          <w:tab w:val="left" w:pos="1188"/>
        </w:tabs>
        <w:spacing w:before="38" w:line="261" w:lineRule="auto"/>
        <w:ind w:left="1309" w:right="224" w:hanging="720"/>
        <w:jc w:val="both"/>
        <w:rPr>
          <w:sz w:val="24"/>
        </w:rPr>
      </w:pPr>
      <w:r>
        <w:rPr>
          <w:spacing w:val="-1"/>
          <w:sz w:val="24"/>
        </w:rPr>
        <w:t>报价明显低于其他响应报价的，必须在响应文件中作出单独书面说明并提供相关证明材</w:t>
      </w:r>
      <w:r>
        <w:rPr>
          <w:sz w:val="24"/>
        </w:rPr>
        <w:t>料，不能提供相关证明材料的，作无效标的处理。</w:t>
      </w:r>
    </w:p>
    <w:p>
      <w:pPr>
        <w:pStyle w:val="13"/>
        <w:numPr>
          <w:ilvl w:val="2"/>
          <w:numId w:val="1"/>
        </w:numPr>
        <w:tabs>
          <w:tab w:val="left" w:pos="1188"/>
        </w:tabs>
        <w:spacing w:line="261" w:lineRule="auto"/>
        <w:ind w:left="1309" w:right="224" w:hanging="720"/>
        <w:rPr>
          <w:sz w:val="24"/>
        </w:rPr>
      </w:pPr>
      <w:r>
        <w:rPr>
          <w:spacing w:val="-1"/>
          <w:sz w:val="24"/>
        </w:rPr>
        <w:t>不能合理说明或者提供相关证明材料被询价小组认定为以低于成本报价竞标的，作无效</w:t>
      </w:r>
      <w:r>
        <w:rPr>
          <w:sz w:val="24"/>
        </w:rPr>
        <w:t>标的处理。</w:t>
      </w:r>
    </w:p>
    <w:p>
      <w:pPr>
        <w:pStyle w:val="13"/>
        <w:numPr>
          <w:ilvl w:val="2"/>
          <w:numId w:val="1"/>
        </w:numPr>
        <w:tabs>
          <w:tab w:val="left" w:pos="1188"/>
        </w:tabs>
        <w:spacing w:line="438" w:lineRule="exact"/>
        <w:ind w:hanging="599"/>
        <w:rPr>
          <w:sz w:val="24"/>
        </w:rPr>
      </w:pPr>
      <w:r>
        <w:rPr>
          <w:sz w:val="24"/>
        </w:rPr>
        <w:t>符合法律法规规定的其他情形。</w:t>
      </w:r>
    </w:p>
    <w:p>
      <w:pPr>
        <w:pStyle w:val="5"/>
        <w:rPr>
          <w:sz w:val="20"/>
        </w:rPr>
      </w:pPr>
    </w:p>
    <w:p>
      <w:pPr>
        <w:pStyle w:val="5"/>
        <w:rPr>
          <w:sz w:val="20"/>
        </w:rPr>
      </w:pPr>
    </w:p>
    <w:p>
      <w:pPr>
        <w:pStyle w:val="5"/>
        <w:rPr>
          <w:sz w:val="20"/>
        </w:rPr>
      </w:pPr>
    </w:p>
    <w:p>
      <w:pPr>
        <w:pStyle w:val="5"/>
        <w:rPr>
          <w:sz w:val="20"/>
        </w:rPr>
      </w:pPr>
    </w:p>
    <w:p>
      <w:pPr>
        <w:pStyle w:val="5"/>
        <w:rPr>
          <w:sz w:val="20"/>
        </w:rPr>
      </w:pPr>
    </w:p>
    <w:p>
      <w:pPr>
        <w:pStyle w:val="5"/>
        <w:rPr>
          <w:sz w:val="20"/>
        </w:rPr>
      </w:pPr>
    </w:p>
    <w:p>
      <w:pPr>
        <w:pStyle w:val="5"/>
        <w:spacing w:before="2"/>
      </w:pPr>
    </w:p>
    <w:p>
      <w:pPr>
        <w:jc w:val="center"/>
        <w:rPr>
          <w:rFonts w:ascii="Times New Roman"/>
        </w:rPr>
        <w:sectPr>
          <w:headerReference r:id="rId6" w:type="default"/>
          <w:pgSz w:w="11910" w:h="16840"/>
          <w:pgMar w:top="820" w:right="620" w:bottom="280" w:left="740" w:header="587" w:footer="0" w:gutter="0"/>
          <w:cols w:space="720" w:num="1"/>
        </w:sectPr>
      </w:pPr>
    </w:p>
    <w:p>
      <w:pPr>
        <w:pStyle w:val="5"/>
        <w:rPr>
          <w:rFonts w:ascii="Times New Roman"/>
          <w:sz w:val="20"/>
        </w:rPr>
      </w:pPr>
    </w:p>
    <w:p>
      <w:pPr>
        <w:pStyle w:val="2"/>
        <w:spacing w:before="16"/>
        <w:ind w:left="0" w:right="3396"/>
        <w:jc w:val="center"/>
      </w:pPr>
      <w:bookmarkStart w:id="3" w:name="_TOC_250000"/>
      <w:bookmarkEnd w:id="3"/>
      <w:r>
        <w:rPr>
          <w:rFonts w:hint="eastAsia"/>
          <w:lang w:val="en-US" w:eastAsia="zh-CN"/>
        </w:rPr>
        <w:t xml:space="preserve">                                      </w:t>
      </w:r>
      <w:r>
        <w:t>四、询价响应文件格式</w:t>
      </w:r>
    </w:p>
    <w:p>
      <w:pPr>
        <w:pStyle w:val="5"/>
        <w:spacing w:before="7"/>
        <w:rPr>
          <w:b/>
          <w:sz w:val="25"/>
        </w:rPr>
      </w:pPr>
    </w:p>
    <w:p>
      <w:pPr>
        <w:pStyle w:val="3"/>
        <w:tabs>
          <w:tab w:val="left" w:pos="5076"/>
        </w:tabs>
        <w:spacing w:before="1"/>
        <w:ind w:left="-1" w:right="117" w:firstLine="0"/>
        <w:jc w:val="center"/>
      </w:pPr>
      <w:r>
        <w:rPr>
          <w:rFonts w:hint="eastAsia"/>
          <w:spacing w:val="-2"/>
          <w:lang w:val="en-US"/>
        </w:rPr>
        <w:t xml:space="preserve">4.1 </w:t>
      </w:r>
      <w:r>
        <w:rPr>
          <w:spacing w:val="-2"/>
        </w:rPr>
        <w:t>报价函</w:t>
      </w:r>
    </w:p>
    <w:p>
      <w:pPr>
        <w:pStyle w:val="5"/>
        <w:spacing w:before="1" w:line="271" w:lineRule="auto"/>
        <w:ind w:left="109" w:right="224" w:firstLine="480"/>
      </w:pPr>
    </w:p>
    <w:p>
      <w:pPr>
        <w:pStyle w:val="5"/>
        <w:spacing w:before="1" w:line="271" w:lineRule="auto"/>
        <w:ind w:left="109" w:right="224" w:firstLine="480"/>
      </w:pPr>
      <w:r>
        <w:t>致：</w:t>
      </w:r>
      <w:r>
        <w:rPr>
          <w:rFonts w:hint="eastAsia"/>
        </w:rPr>
        <w:t>昆明市呈贡区教育体育局</w:t>
      </w:r>
      <w:r>
        <w:t>：</w:t>
      </w:r>
    </w:p>
    <w:p>
      <w:pPr>
        <w:pStyle w:val="5"/>
        <w:spacing w:before="1" w:line="271" w:lineRule="auto"/>
        <w:ind w:left="109" w:right="224" w:firstLine="480"/>
      </w:pPr>
      <w:r>
        <w:t>1、根据你方“</w:t>
      </w:r>
      <w:r>
        <w:rPr>
          <w:rFonts w:hint="eastAsia"/>
        </w:rPr>
        <w:t>呈贡区教育体育局学校建设工程项目第三方审核服务</w:t>
      </w:r>
      <w:r>
        <w:rPr>
          <w:rFonts w:hint="eastAsia"/>
          <w:lang w:val="en-US"/>
        </w:rPr>
        <w:t>询价函</w:t>
      </w:r>
      <w:r>
        <w:t>”要求，遵照《中华人民共和国财政部令第74号——政府采购非招标采购方式管理办法》等有关规定，经研究上述询价文件的各项要求后,我方按累计总额为：大写：人民币</w:t>
      </w:r>
      <w:r>
        <w:tab/>
      </w:r>
      <w:r>
        <w:t>（小写：</w:t>
      </w:r>
      <w:r>
        <w:rPr>
          <w:rFonts w:hint="eastAsia"/>
        </w:rPr>
        <w:t>￥</w:t>
      </w:r>
      <w:r>
        <w:rPr>
          <w:rFonts w:hint="eastAsia"/>
        </w:rPr>
        <w:tab/>
      </w:r>
      <w:r>
        <w:t>）。</w:t>
      </w:r>
    </w:p>
    <w:p>
      <w:pPr>
        <w:pStyle w:val="5"/>
        <w:spacing w:before="78" w:line="280" w:lineRule="auto"/>
        <w:ind w:left="109" w:right="107" w:firstLine="480"/>
      </w:pPr>
      <w:r>
        <w:rPr>
          <w:spacing w:val="-2"/>
        </w:rPr>
        <w:t>2</w:t>
      </w:r>
      <w:r>
        <w:rPr>
          <w:spacing w:val="-16"/>
        </w:rPr>
        <w:t>、我方已详细审核并确认全部询价响应文件及有关附件，包括询价文件修改书</w:t>
      </w:r>
      <w:r>
        <w:t>（如果有的话</w:t>
      </w:r>
      <w:r>
        <w:rPr>
          <w:spacing w:val="-129"/>
        </w:rPr>
        <w:t>）</w:t>
      </w:r>
      <w:r>
        <w:rPr>
          <w:spacing w:val="-9"/>
        </w:rPr>
        <w:t>，</w:t>
      </w:r>
      <w:r>
        <w:rPr>
          <w:spacing w:val="-5"/>
        </w:rPr>
        <w:t>充分理解询价响应文件报价不得低于企业个别成本有关规定。我方经成本核算，在保证服务和质量的前提下，所填报的询价响应文件报价不低于企业个别成本。</w:t>
      </w:r>
    </w:p>
    <w:p>
      <w:pPr>
        <w:pStyle w:val="5"/>
        <w:tabs>
          <w:tab w:val="left" w:pos="10165"/>
        </w:tabs>
        <w:spacing w:line="433" w:lineRule="exact"/>
        <w:ind w:left="589"/>
        <w:rPr>
          <w:rFonts w:ascii="Times New Roman" w:eastAsia="Times New Roman"/>
          <w:sz w:val="22"/>
        </w:rPr>
      </w:pPr>
      <w:r>
        <w:t>3、我方同意向贵方提供贵方可能另外要求的与其询价响应文件有关的任何证据或资料。</w:t>
      </w:r>
    </w:p>
    <w:p>
      <w:pPr>
        <w:pStyle w:val="5"/>
        <w:spacing w:before="57" w:line="271" w:lineRule="auto"/>
        <w:ind w:left="109" w:right="224" w:firstLine="480"/>
      </w:pPr>
      <w:r>
        <w:t>4</w:t>
      </w:r>
      <w:r>
        <w:rPr>
          <w:spacing w:val="-10"/>
        </w:rPr>
        <w:t>、一旦我方成交，我方保证按照询价文件的规定，严格履行合同的责任和义务,按约定时间开</w:t>
      </w:r>
      <w:r>
        <w:t>展各项</w:t>
      </w:r>
      <w:r>
        <w:rPr>
          <w:rFonts w:hint="eastAsia"/>
        </w:rPr>
        <w:t>网络安全信息维护</w:t>
      </w:r>
      <w:r>
        <w:t>任务。</w:t>
      </w:r>
    </w:p>
    <w:p>
      <w:pPr>
        <w:pStyle w:val="5"/>
        <w:spacing w:before="1" w:line="271" w:lineRule="auto"/>
        <w:ind w:left="109" w:right="224" w:firstLine="480"/>
      </w:pPr>
      <w:r>
        <w:t>5、一旦我方成交，我方同意</w:t>
      </w:r>
      <w:r>
        <w:rPr>
          <w:rFonts w:hint="eastAsia"/>
        </w:rPr>
        <w:t>贵局学校建设工程项目第三方审核服务</w:t>
      </w:r>
      <w:r>
        <w:rPr>
          <w:rFonts w:hint="eastAsia"/>
          <w:lang w:val="en-US"/>
        </w:rPr>
        <w:t>任务</w:t>
      </w:r>
      <w:r>
        <w:t>报价与询价响应文件报价一致，开展时间与方式由双方商定。</w:t>
      </w:r>
    </w:p>
    <w:p>
      <w:pPr>
        <w:pStyle w:val="5"/>
        <w:spacing w:before="1"/>
        <w:ind w:left="589"/>
      </w:pPr>
      <w:r>
        <w:t>7、一旦我方成交，我方保证检测任务完成的科学性、规范性和公正性。</w:t>
      </w:r>
    </w:p>
    <w:p>
      <w:pPr>
        <w:pStyle w:val="5"/>
        <w:tabs>
          <w:tab w:val="left" w:pos="2629"/>
          <w:tab w:val="left" w:pos="3469"/>
          <w:tab w:val="left" w:pos="4208"/>
          <w:tab w:val="left" w:pos="8091"/>
        </w:tabs>
        <w:spacing w:before="56" w:line="324" w:lineRule="auto"/>
        <w:ind w:left="589" w:right="2453"/>
      </w:pPr>
      <w:r>
        <mc:AlternateContent>
          <mc:Choice Requires="wps">
            <w:drawing>
              <wp:anchor distT="0" distB="0" distL="114300" distR="114300" simplePos="0" relativeHeight="250536960" behindDoc="1" locked="0" layoutInCell="1" allowOverlap="1">
                <wp:simplePos x="0" y="0"/>
                <wp:positionH relativeFrom="page">
                  <wp:posOffset>1681480</wp:posOffset>
                </wp:positionH>
                <wp:positionV relativeFrom="paragraph">
                  <wp:posOffset>643890</wp:posOffset>
                </wp:positionV>
                <wp:extent cx="3924300" cy="0"/>
                <wp:effectExtent l="0" t="0" r="0" b="0"/>
                <wp:wrapNone/>
                <wp:docPr id="1" name="直线 3"/>
                <wp:cNvGraphicFramePr/>
                <a:graphic xmlns:a="http://schemas.openxmlformats.org/drawingml/2006/main">
                  <a:graphicData uri="http://schemas.microsoft.com/office/word/2010/wordprocessingShape">
                    <wps:wsp>
                      <wps:cNvCnPr/>
                      <wps:spPr>
                        <a:xfrm>
                          <a:off x="0" y="0"/>
                          <a:ext cx="3924300" cy="0"/>
                        </a:xfrm>
                        <a:prstGeom prst="line">
                          <a:avLst/>
                        </a:prstGeom>
                        <a:ln w="7620" cap="flat" cmpd="sng">
                          <a:solidFill>
                            <a:srgbClr val="000000"/>
                          </a:solidFill>
                          <a:prstDash val="solid"/>
                          <a:headEnd type="none" w="med" len="med"/>
                          <a:tailEnd type="none" w="med" len="med"/>
                        </a:ln>
                        <a:effectLst/>
                      </wps:spPr>
                      <wps:bodyPr upright="1"/>
                    </wps:wsp>
                  </a:graphicData>
                </a:graphic>
              </wp:anchor>
            </w:drawing>
          </mc:Choice>
          <mc:Fallback>
            <w:pict>
              <v:line id="直线 3" o:spid="_x0000_s1026" o:spt="20" style="position:absolute;left:0pt;margin-left:132.4pt;margin-top:50.7pt;height:0pt;width:309pt;mso-position-horizontal-relative:page;z-index:-252779520;mso-width-relative:page;mso-height-relative:page;" filled="f" stroked="t" coordsize="21600,21600" o:gfxdata="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Fod5GfWAAAACwEAAA8AAAAAAAAAAQAgAAAAIgAA&#10;AGRycy9kb3ducmV2LnhtbFBLAQIUABQAAAAIAIdO4kDz8aeL0QEAAJsDAAAOAAAAAAAAAAEAIAAA&#10;ACUBAABkcnMvZTJvRG9jLnhtbFBLBQYAAAAABgAGAFkBAABoBQAAAAA=&#10;">
                <v:fill on="f" focussize="0,0"/>
                <v:stroke weight="0.6pt" color="#000000" joinstyle="round"/>
                <v:imagedata o:title=""/>
                <o:lock v:ext="edit" aspectratio="f"/>
              </v:line>
            </w:pict>
          </mc:Fallback>
        </mc:AlternateContent>
      </w:r>
      <w:r>
        <w:t>8、其他补充说明：</w:t>
      </w:r>
      <w:r>
        <w:rPr>
          <w:u w:val="single"/>
        </w:rPr>
        <w:tab/>
      </w:r>
      <w:r>
        <w:rPr>
          <w:u w:val="single"/>
        </w:rPr>
        <w:tab/>
      </w:r>
      <w:r>
        <w:rPr>
          <w:rFonts w:hint="eastAsia"/>
          <w:u w:val="single"/>
          <w:lang w:val="en-US" w:eastAsia="zh-CN"/>
        </w:rPr>
        <w:t xml:space="preserve">                                                      </w:t>
      </w:r>
      <w:r>
        <w:t>供应商</w:t>
      </w:r>
      <w:r>
        <w:rPr>
          <w:rFonts w:hint="eastAsia"/>
          <w:lang w:eastAsia="zh-CN"/>
        </w:rPr>
        <w:t>：</w:t>
      </w:r>
      <w:r>
        <w:rPr>
          <w:rFonts w:hint="eastAsia"/>
          <w:lang w:val="en-US" w:eastAsia="zh-CN"/>
        </w:rPr>
        <w:t xml:space="preserve">                              </w:t>
      </w:r>
      <w:r>
        <w:t>名称</w:t>
      </w:r>
      <w:r>
        <w:tab/>
      </w:r>
      <w:r>
        <w:t>（盖章）</w:t>
      </w:r>
    </w:p>
    <w:p>
      <w:pPr>
        <w:pStyle w:val="5"/>
        <w:tabs>
          <w:tab w:val="left" w:pos="8107"/>
        </w:tabs>
        <w:spacing w:before="6"/>
        <w:ind w:left="608"/>
        <w:rPr>
          <w:rFonts w:hint="default" w:eastAsia="微软雅黑"/>
          <w:u w:val="single"/>
          <w:lang w:val="en-US" w:eastAsia="zh-CN"/>
        </w:rPr>
      </w:pPr>
      <w:r>
        <w:rPr>
          <w:spacing w:val="-1"/>
        </w:rPr>
        <w:t>单</w:t>
      </w:r>
      <w:r>
        <w:t>位地址</w:t>
      </w:r>
      <w:r>
        <w:rPr>
          <w:rFonts w:hint="eastAsia"/>
          <w:lang w:eastAsia="zh-CN"/>
        </w:rPr>
        <w:t>：</w:t>
      </w:r>
      <w:r>
        <w:rPr>
          <w:rFonts w:hint="eastAsia"/>
          <w:u w:val="single"/>
          <w:lang w:val="en-US" w:eastAsia="zh-CN"/>
        </w:rPr>
        <w:t xml:space="preserve">                                                                                        </w:t>
      </w:r>
    </w:p>
    <w:p>
      <w:pPr>
        <w:pStyle w:val="5"/>
        <w:tabs>
          <w:tab w:val="left" w:pos="2269"/>
          <w:tab w:val="left" w:pos="3469"/>
          <w:tab w:val="left" w:pos="4669"/>
          <w:tab w:val="left" w:pos="5869"/>
          <w:tab w:val="left" w:pos="6049"/>
          <w:tab w:val="left" w:pos="8028"/>
          <w:tab w:val="left" w:pos="8748"/>
        </w:tabs>
        <w:spacing w:before="136" w:line="326" w:lineRule="auto"/>
        <w:ind w:left="480" w:leftChars="218" w:right="1795"/>
      </w:pPr>
      <w:r>
        <w:t>法定代表人或其委托代理人：</w:t>
      </w:r>
      <w:r>
        <w:rPr>
          <w:u w:val="single"/>
        </w:rPr>
        <w:tab/>
      </w:r>
      <w:r>
        <w:rPr>
          <w:u w:val="single"/>
        </w:rPr>
        <w:tab/>
      </w:r>
      <w:r>
        <w:rPr>
          <w:u w:val="single"/>
        </w:rPr>
        <w:t>（签字或盖章）</w:t>
      </w:r>
      <w:r>
        <w:rPr>
          <w:u w:val="single"/>
        </w:rPr>
        <w:tab/>
      </w:r>
      <w:r>
        <w:t xml:space="preserve">       邮政编码：</w:t>
      </w:r>
      <w:r>
        <w:rPr>
          <w:u w:val="single"/>
        </w:rPr>
        <w:tab/>
      </w:r>
      <w:r>
        <w:rPr>
          <w:u w:val="single"/>
        </w:rPr>
        <w:tab/>
      </w:r>
      <w:r>
        <w:t>电话：</w:t>
      </w:r>
      <w:r>
        <w:rPr>
          <w:u w:val="single"/>
        </w:rPr>
        <w:tab/>
      </w:r>
      <w:r>
        <w:rPr>
          <w:u w:val="single"/>
        </w:rPr>
        <w:tab/>
      </w:r>
      <w:r>
        <w:rPr>
          <w:u w:val="single"/>
        </w:rPr>
        <w:tab/>
      </w:r>
      <w:r>
        <w:rPr>
          <w:spacing w:val="-1"/>
        </w:rPr>
        <w:t>传</w:t>
      </w:r>
      <w:r>
        <w:t>真：</w:t>
      </w:r>
      <w:r>
        <w:rPr>
          <w:rFonts w:ascii="Times New Roman" w:eastAsia="Times New Roman"/>
          <w:u w:val="single"/>
        </w:rPr>
        <w:tab/>
      </w:r>
      <w:r>
        <w:rPr>
          <w:rFonts w:hint="eastAsia" w:ascii="Times New Roman" w:eastAsia="宋体"/>
          <w:u w:val="single"/>
          <w:lang w:val="en-US" w:eastAsia="zh-CN"/>
        </w:rPr>
        <w:t xml:space="preserve"> </w:t>
      </w:r>
      <w:r>
        <w:rPr>
          <w:rFonts w:hint="eastAsia" w:ascii="Times New Roman" w:eastAsia="宋体"/>
          <w:u w:val="none"/>
          <w:lang w:val="en-US" w:eastAsia="zh-CN"/>
        </w:rPr>
        <w:t xml:space="preserve">                  </w:t>
      </w:r>
      <w:r>
        <w:t>日期：</w:t>
      </w:r>
      <w:r>
        <w:rPr>
          <w:u w:val="single"/>
        </w:rPr>
        <w:tab/>
      </w:r>
      <w:r>
        <w:t>年</w:t>
      </w:r>
      <w:r>
        <w:rPr>
          <w:u w:val="single"/>
        </w:rPr>
        <w:tab/>
      </w:r>
      <w:r>
        <w:t>月</w:t>
      </w:r>
      <w:r>
        <w:rPr>
          <w:u w:val="single"/>
        </w:rPr>
        <w:tab/>
      </w:r>
      <w:r>
        <w:t>日</w:t>
      </w:r>
    </w:p>
    <w:p>
      <w:pPr>
        <w:pStyle w:val="5"/>
        <w:tabs>
          <w:tab w:val="left" w:pos="8107"/>
        </w:tabs>
        <w:spacing w:before="6"/>
        <w:ind w:left="608"/>
        <w:sectPr>
          <w:pgSz w:w="11910" w:h="16840"/>
          <w:pgMar w:top="820" w:right="620" w:bottom="280" w:left="740" w:header="587" w:footer="0" w:gutter="0"/>
          <w:cols w:space="720" w:num="1"/>
        </w:sectPr>
      </w:pPr>
    </w:p>
    <w:p>
      <w:pPr>
        <w:pStyle w:val="5"/>
        <w:rPr>
          <w:sz w:val="32"/>
        </w:rPr>
      </w:pPr>
    </w:p>
    <w:p>
      <w:pPr>
        <w:pStyle w:val="5"/>
        <w:spacing w:before="9"/>
        <w:rPr>
          <w:sz w:val="21"/>
        </w:rPr>
      </w:pPr>
    </w:p>
    <w:p>
      <w:pPr>
        <w:pStyle w:val="3"/>
        <w:tabs>
          <w:tab w:val="left" w:pos="4060"/>
        </w:tabs>
        <w:ind w:left="3565" w:firstLine="0"/>
      </w:pPr>
      <w:r>
        <w:rPr>
          <w:rFonts w:hint="eastAsia"/>
          <w:spacing w:val="-3"/>
          <w:lang w:val="en-US"/>
        </w:rPr>
        <w:t xml:space="preserve">4.2 </w:t>
      </w:r>
      <w:r>
        <w:rPr>
          <w:spacing w:val="-3"/>
        </w:rPr>
        <w:t>法定代表人授权委托书</w:t>
      </w:r>
    </w:p>
    <w:p>
      <w:pPr>
        <w:pStyle w:val="5"/>
        <w:spacing w:before="2"/>
        <w:rPr>
          <w:b/>
          <w:sz w:val="34"/>
        </w:rPr>
      </w:pPr>
    </w:p>
    <w:p>
      <w:pPr>
        <w:pStyle w:val="5"/>
        <w:tabs>
          <w:tab w:val="left" w:pos="2480"/>
          <w:tab w:val="left" w:pos="4633"/>
          <w:tab w:val="left" w:pos="7175"/>
        </w:tabs>
        <w:spacing w:line="345" w:lineRule="auto"/>
        <w:ind w:left="109" w:right="102" w:firstLine="645"/>
      </w:pPr>
      <w:r>
        <w:t>本授权书声明：</w:t>
      </w:r>
      <w:r>
        <w:rPr>
          <w:u w:val="single"/>
        </w:rPr>
        <w:tab/>
      </w:r>
      <w:r>
        <w:t>（单位名称）的</w:t>
      </w:r>
      <w:r>
        <w:rPr>
          <w:u w:val="single"/>
        </w:rPr>
        <w:tab/>
      </w:r>
      <w:r>
        <w:t>（法定代表人姓名、职务）代表本单位授权</w:t>
      </w:r>
      <w:r>
        <w:rPr>
          <w:u w:val="single"/>
        </w:rPr>
        <w:tab/>
      </w:r>
      <w:r>
        <w:t>（被授权人的姓名</w:t>
      </w:r>
      <w:r>
        <w:rPr>
          <w:spacing w:val="-29"/>
        </w:rPr>
        <w:t>、</w:t>
      </w:r>
      <w:r>
        <w:t>职务</w:t>
      </w:r>
      <w:r>
        <w:rPr>
          <w:spacing w:val="-29"/>
        </w:rPr>
        <w:t>）</w:t>
      </w:r>
      <w:r>
        <w:t>为本单位的合法代理人</w:t>
      </w:r>
      <w:r>
        <w:rPr>
          <w:spacing w:val="-29"/>
        </w:rPr>
        <w:t>，</w:t>
      </w:r>
      <w:r>
        <w:t>参加</w:t>
      </w:r>
      <w:r>
        <w:rPr>
          <w:rFonts w:hint="eastAsia"/>
          <w:lang w:val="en-US"/>
        </w:rPr>
        <w:t>昆明市</w:t>
      </w:r>
      <w:r>
        <w:rPr>
          <w:rFonts w:hint="eastAsia"/>
        </w:rPr>
        <w:t>呈贡区教育体育局学校建设工程项目第三方审核服务</w:t>
      </w:r>
      <w:r>
        <w:t>响应文件的签署</w:t>
      </w:r>
      <w:r>
        <w:rPr>
          <w:spacing w:val="-48"/>
        </w:rPr>
        <w:t>、</w:t>
      </w:r>
      <w:r>
        <w:t>澄清</w:t>
      </w:r>
      <w:r>
        <w:rPr>
          <w:spacing w:val="-51"/>
        </w:rPr>
        <w:t>、</w:t>
      </w:r>
      <w:r>
        <w:t>补正</w:t>
      </w:r>
      <w:r>
        <w:rPr>
          <w:spacing w:val="-48"/>
        </w:rPr>
        <w:t>、</w:t>
      </w:r>
      <w:r>
        <w:t>谈判</w:t>
      </w:r>
      <w:r>
        <w:rPr>
          <w:spacing w:val="-51"/>
        </w:rPr>
        <w:t>、</w:t>
      </w:r>
      <w:r>
        <w:t>合同执行等活动</w:t>
      </w:r>
      <w:r>
        <w:rPr>
          <w:spacing w:val="-11"/>
        </w:rPr>
        <w:t xml:space="preserve">， </w:t>
      </w:r>
      <w:r>
        <w:t>其可以以本公司名义处理一切与之有关的事务。</w:t>
      </w:r>
    </w:p>
    <w:p>
      <w:pPr>
        <w:pStyle w:val="5"/>
        <w:spacing w:line="438" w:lineRule="exact"/>
        <w:ind w:left="755"/>
      </w:pPr>
      <w:r>
        <w:t>特此声明。</w:t>
      </w:r>
    </w:p>
    <w:p>
      <w:pPr>
        <w:pStyle w:val="5"/>
        <w:rPr>
          <w:sz w:val="45"/>
        </w:rPr>
      </w:pPr>
    </w:p>
    <w:p>
      <w:pPr>
        <w:pStyle w:val="5"/>
        <w:tabs>
          <w:tab w:val="left" w:pos="6454"/>
        </w:tabs>
        <w:ind w:left="755"/>
        <w:rPr>
          <w:rFonts w:ascii="Times New Roman" w:eastAsia="Times New Roman"/>
        </w:rPr>
      </w:pPr>
      <w:r>
        <w:t>代理人（被授权人）签字（或盖章</w:t>
      </w:r>
      <w:r>
        <w:rPr>
          <w:spacing w:val="-120"/>
        </w:rPr>
        <w:t>）</w:t>
      </w:r>
      <w:r>
        <w:rPr>
          <w:spacing w:val="-1"/>
        </w:rPr>
        <w:t>：</w:t>
      </w:r>
      <w:r>
        <w:rPr>
          <w:rFonts w:ascii="Times New Roman" w:eastAsia="Times New Roman"/>
          <w:u w:val="single"/>
        </w:rPr>
        <w:tab/>
      </w:r>
    </w:p>
    <w:p>
      <w:pPr>
        <w:pStyle w:val="5"/>
        <w:spacing w:before="7"/>
        <w:rPr>
          <w:rFonts w:ascii="Times New Roman"/>
          <w:sz w:val="13"/>
        </w:rPr>
      </w:pPr>
    </w:p>
    <w:p>
      <w:pPr>
        <w:pStyle w:val="5"/>
        <w:tabs>
          <w:tab w:val="left" w:pos="6454"/>
        </w:tabs>
        <w:spacing w:before="38"/>
        <w:ind w:left="755"/>
        <w:rPr>
          <w:rFonts w:ascii="Times New Roman" w:eastAsia="Times New Roman"/>
        </w:rPr>
      </w:pPr>
      <w:r>
        <w:rPr>
          <w:spacing w:val="-1"/>
        </w:rPr>
        <w:t>职</w:t>
      </w:r>
      <w:r>
        <w:t>务：</w:t>
      </w:r>
      <w:r>
        <w:rPr>
          <w:rFonts w:ascii="Times New Roman" w:eastAsia="Times New Roman"/>
          <w:u w:val="single"/>
        </w:rPr>
        <w:tab/>
      </w:r>
    </w:p>
    <w:p>
      <w:pPr>
        <w:pStyle w:val="5"/>
        <w:spacing w:before="6"/>
        <w:rPr>
          <w:rFonts w:ascii="Times New Roman"/>
          <w:sz w:val="13"/>
        </w:rPr>
      </w:pPr>
    </w:p>
    <w:p>
      <w:pPr>
        <w:pStyle w:val="5"/>
        <w:tabs>
          <w:tab w:val="left" w:pos="6454"/>
        </w:tabs>
        <w:spacing w:before="38"/>
        <w:ind w:left="755"/>
        <w:rPr>
          <w:rFonts w:ascii="Times New Roman" w:eastAsia="Times New Roman"/>
        </w:rPr>
      </w:pPr>
      <w:r>
        <w:rPr>
          <w:spacing w:val="-1"/>
        </w:rPr>
        <w:t>身</w:t>
      </w:r>
      <w:r>
        <w:t>份证号码：</w:t>
      </w:r>
      <w:r>
        <w:rPr>
          <w:rFonts w:ascii="Times New Roman" w:eastAsia="Times New Roman"/>
          <w:u w:val="single"/>
        </w:rPr>
        <w:tab/>
      </w:r>
    </w:p>
    <w:p>
      <w:pPr>
        <w:pStyle w:val="5"/>
        <w:spacing w:before="6"/>
        <w:rPr>
          <w:rFonts w:ascii="Times New Roman"/>
          <w:sz w:val="13"/>
        </w:rPr>
      </w:pPr>
    </w:p>
    <w:p>
      <w:pPr>
        <w:pStyle w:val="5"/>
        <w:tabs>
          <w:tab w:val="left" w:pos="6454"/>
        </w:tabs>
        <w:spacing w:before="38" w:line="362" w:lineRule="exact"/>
        <w:ind w:left="755"/>
        <w:rPr>
          <w:rFonts w:ascii="Times New Roman" w:eastAsia="Times New Roman"/>
        </w:rPr>
      </w:pPr>
      <w:r>
        <w:t>法定代表人签字（或盖章</w:t>
      </w:r>
      <w:r>
        <w:rPr>
          <w:spacing w:val="-120"/>
        </w:rPr>
        <w:t>）</w:t>
      </w:r>
      <w:r>
        <w:rPr>
          <w:spacing w:val="-1"/>
        </w:rPr>
        <w:t>：</w:t>
      </w:r>
      <w:r>
        <w:rPr>
          <w:rFonts w:ascii="Times New Roman" w:eastAsia="Times New Roman"/>
          <w:u w:val="single"/>
        </w:rPr>
        <w:tab/>
      </w:r>
    </w:p>
    <w:p>
      <w:pPr>
        <w:pStyle w:val="5"/>
        <w:tabs>
          <w:tab w:val="left" w:pos="6375"/>
        </w:tabs>
        <w:spacing w:before="101"/>
        <w:ind w:left="755"/>
        <w:rPr>
          <w:rFonts w:ascii="Times New Roman" w:eastAsia="Times New Roman"/>
        </w:rPr>
      </w:pPr>
      <w:r>
        <w:t>询价响应单位名称(加盖公章)：</w:t>
      </w:r>
      <w:r>
        <w:rPr>
          <w:rFonts w:ascii="Times New Roman" w:eastAsia="Times New Roman"/>
          <w:u w:val="single"/>
        </w:rPr>
        <w:tab/>
      </w:r>
    </w:p>
    <w:p>
      <w:pPr>
        <w:pStyle w:val="5"/>
        <w:spacing w:before="7"/>
        <w:rPr>
          <w:rFonts w:ascii="Times New Roman"/>
          <w:sz w:val="13"/>
        </w:rPr>
      </w:pPr>
    </w:p>
    <w:p>
      <w:pPr>
        <w:pStyle w:val="5"/>
        <w:tabs>
          <w:tab w:val="left" w:pos="6454"/>
        </w:tabs>
        <w:spacing w:before="37"/>
        <w:ind w:left="755"/>
        <w:rPr>
          <w:rFonts w:ascii="Times New Roman" w:eastAsia="Times New Roman"/>
        </w:rPr>
      </w:pPr>
      <w:r>
        <w:rPr>
          <w:spacing w:val="-1"/>
        </w:rPr>
        <w:t>地</w:t>
      </w:r>
      <w:r>
        <w:t>址：</w:t>
      </w:r>
      <w:r>
        <w:rPr>
          <w:rFonts w:ascii="Times New Roman" w:eastAsia="Times New Roman"/>
          <w:u w:val="single"/>
        </w:rPr>
        <w:tab/>
      </w:r>
    </w:p>
    <w:p>
      <w:pPr>
        <w:pStyle w:val="5"/>
        <w:spacing w:before="7"/>
        <w:rPr>
          <w:rFonts w:ascii="Times New Roman"/>
          <w:sz w:val="13"/>
        </w:rPr>
      </w:pPr>
    </w:p>
    <w:p>
      <w:pPr>
        <w:pStyle w:val="5"/>
        <w:tabs>
          <w:tab w:val="left" w:pos="6454"/>
        </w:tabs>
        <w:spacing w:before="37"/>
        <w:ind w:left="755"/>
        <w:rPr>
          <w:rFonts w:ascii="Times New Roman" w:eastAsia="Times New Roman"/>
        </w:rPr>
      </w:pPr>
      <w:r>
        <w:rPr>
          <w:spacing w:val="-1"/>
        </w:rPr>
        <w:t>日</w:t>
      </w:r>
      <w:r>
        <w:t>期：</w:t>
      </w:r>
      <w:r>
        <w:rPr>
          <w:rFonts w:ascii="Times New Roman" w:eastAsia="Times New Roman"/>
          <w:u w:val="single"/>
        </w:rPr>
        <w:tab/>
      </w:r>
    </w:p>
    <w:p>
      <w:pPr>
        <w:rPr>
          <w:rFonts w:ascii="Times New Roman" w:eastAsia="Times New Roman"/>
        </w:rPr>
        <w:sectPr>
          <w:pgSz w:w="11910" w:h="16840"/>
          <w:pgMar w:top="820" w:right="620" w:bottom="280" w:left="740" w:header="587" w:footer="0" w:gutter="0"/>
          <w:cols w:space="720" w:num="1"/>
        </w:sectPr>
      </w:pPr>
    </w:p>
    <w:p>
      <w:pPr>
        <w:pStyle w:val="5"/>
        <w:spacing w:before="10"/>
        <w:rPr>
          <w:rFonts w:ascii="Times New Roman"/>
          <w:sz w:val="2"/>
        </w:rPr>
      </w:pPr>
    </w:p>
    <w:p>
      <w:pPr>
        <w:pStyle w:val="5"/>
        <w:spacing w:line="20" w:lineRule="exact"/>
        <w:ind w:left="105"/>
        <w:rPr>
          <w:rFonts w:ascii="Times New Roman"/>
          <w:sz w:val="2"/>
        </w:rPr>
      </w:pPr>
      <w:r>
        <w:rPr>
          <w:rFonts w:ascii="Times New Roman"/>
          <w:sz w:val="2"/>
        </w:rPr>
        <mc:AlternateContent>
          <mc:Choice Requires="wpg">
            <w:drawing>
              <wp:inline distT="0" distB="0" distL="114300" distR="114300">
                <wp:extent cx="6480810" cy="6350"/>
                <wp:effectExtent l="0" t="0" r="0" b="0"/>
                <wp:docPr id="3" name="组合 4"/>
                <wp:cNvGraphicFramePr/>
                <a:graphic xmlns:a="http://schemas.openxmlformats.org/drawingml/2006/main">
                  <a:graphicData uri="http://schemas.microsoft.com/office/word/2010/wordprocessingGroup">
                    <wpg:wgp>
                      <wpg:cNvGrpSpPr/>
                      <wpg:grpSpPr>
                        <a:xfrm>
                          <a:off x="0" y="0"/>
                          <a:ext cx="6480810" cy="6350"/>
                          <a:chOff x="0" y="0"/>
                          <a:chExt cx="10206" cy="10"/>
                        </a:xfrm>
                        <a:effectLst/>
                      </wpg:grpSpPr>
                      <wps:wsp>
                        <wps:cNvPr id="2" name="直线 5"/>
                        <wps:cNvCnPr/>
                        <wps:spPr>
                          <a:xfrm>
                            <a:off x="0" y="5"/>
                            <a:ext cx="10206" cy="0"/>
                          </a:xfrm>
                          <a:prstGeom prst="line">
                            <a:avLst/>
                          </a:prstGeom>
                          <a:ln w="6096" cap="flat" cmpd="sng">
                            <a:solidFill>
                              <a:srgbClr val="000000"/>
                            </a:solidFill>
                            <a:prstDash val="solid"/>
                            <a:headEnd type="none" w="med" len="med"/>
                            <a:tailEnd type="none" w="med" len="med"/>
                          </a:ln>
                          <a:effectLst/>
                        </wps:spPr>
                        <wps:bodyPr upright="1"/>
                      </wps:wsp>
                    </wpg:wgp>
                  </a:graphicData>
                </a:graphic>
              </wp:inline>
            </w:drawing>
          </mc:Choice>
          <mc:Fallback>
            <w:pict>
              <v:group id="组合 4" o:spid="_x0000_s1026" o:spt="203" style="height:0.5pt;width:510.3pt;" coordsize="10206,10" o:gfxdata="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2tq3utMAAAAEAQAADwAAAAAAAAABACAAAAAiAAAAZHJzL2Rvd25yZXYueG1sUEsB&#10;AhQAFAAAAAgAh07iQJHTBIkzAgAAzgQAAA4AAAAAAAAAAQAgAAAAIgEAAGRycy9lMm9Eb2MueG1s&#10;UEsFBgAAAAAGAAYAWQEAAMcFAAAAAA==&#10;">
                <o:lock v:ext="edit" aspectratio="f"/>
                <v:line id="直线 5" o:spid="_x0000_s1026" o:spt="20" style="position:absolute;left:0;top:5;height:0;width:10206;" filled="f" stroked="t" coordsize="21600,21600" o:gfxdata="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i89H68AAAA&#10;2gAAAA8AAAAAAAAAAQAgAAAAIgAAAGRycy9kb3ducmV2LnhtbFBLAQIUABQAAAAIAIdO4kAzLwWe&#10;OwAAADkAAAAQAAAAAAAAAAEAIAAAAAsBAABkcnMvc2hhcGV4bWwueG1sUEsFBgAAAAAGAAYAWwEA&#10;ALUDAAAAAA==&#10;">
                  <v:fill on="f" focussize="0,0"/>
                  <v:stroke weight="0.48pt" color="#000000" joinstyle="round"/>
                  <v:imagedata o:title=""/>
                  <o:lock v:ext="edit" aspectratio="f"/>
                </v:line>
                <w10:wrap type="none"/>
                <w10:anchorlock/>
              </v:group>
            </w:pict>
          </mc:Fallback>
        </mc:AlternateContent>
      </w:r>
    </w:p>
    <w:p>
      <w:pPr>
        <w:pStyle w:val="3"/>
        <w:tabs>
          <w:tab w:val="left" w:pos="4761"/>
        </w:tabs>
        <w:spacing w:before="71"/>
        <w:ind w:left="4265" w:firstLine="0"/>
      </w:pPr>
      <w:bookmarkStart w:id="4" w:name="4.3证明文件等"/>
      <w:bookmarkEnd w:id="4"/>
      <w:r>
        <w:rPr>
          <w:rFonts w:hint="eastAsia"/>
          <w:spacing w:val="-2"/>
          <w:lang w:val="en-US"/>
        </w:rPr>
        <w:t xml:space="preserve">4.3 </w:t>
      </w:r>
      <w:r>
        <w:rPr>
          <w:spacing w:val="-2"/>
        </w:rPr>
        <w:t>证明文件等</w:t>
      </w:r>
    </w:p>
    <w:p>
      <w:pPr>
        <w:pStyle w:val="5"/>
        <w:spacing w:before="9"/>
        <w:rPr>
          <w:b/>
          <w:sz w:val="22"/>
        </w:rPr>
      </w:pPr>
    </w:p>
    <w:p>
      <w:pPr>
        <w:pStyle w:val="5"/>
        <w:spacing w:before="1"/>
        <w:ind w:left="229"/>
      </w:pPr>
      <w:r>
        <w:t>询价响应单位应按本文件要求提供以下材料的复印件或等效件：</w:t>
      </w:r>
    </w:p>
    <w:p>
      <w:pPr>
        <w:pStyle w:val="13"/>
        <w:numPr>
          <w:ilvl w:val="0"/>
          <w:numId w:val="2"/>
        </w:numPr>
        <w:tabs>
          <w:tab w:val="left" w:pos="730"/>
        </w:tabs>
        <w:spacing w:before="193"/>
        <w:rPr>
          <w:sz w:val="24"/>
        </w:rPr>
      </w:pPr>
      <w:r>
        <w:rPr>
          <w:sz w:val="24"/>
        </w:rPr>
        <w:t>营业执照：复印件需加盖公章</w:t>
      </w:r>
    </w:p>
    <w:p>
      <w:pPr>
        <w:pStyle w:val="13"/>
        <w:numPr>
          <w:ilvl w:val="0"/>
          <w:numId w:val="2"/>
        </w:numPr>
        <w:tabs>
          <w:tab w:val="left" w:pos="730"/>
        </w:tabs>
        <w:spacing w:before="194"/>
        <w:rPr>
          <w:sz w:val="24"/>
        </w:rPr>
      </w:pPr>
      <w:r>
        <w:rPr>
          <w:rFonts w:hint="eastAsia"/>
          <w:sz w:val="24"/>
          <w:lang w:val="zh-TW"/>
        </w:rPr>
        <w:t>国家企业信用信息公示系统及中国政府采购网（www.ccgp.gov.cn）的失信信息查询材料、2020年度的财务报表、项目负责人</w:t>
      </w:r>
      <w:r>
        <w:rPr>
          <w:rFonts w:hint="eastAsia"/>
          <w:sz w:val="24"/>
        </w:rPr>
        <w:t>相关材料</w:t>
      </w:r>
      <w:r>
        <w:rPr>
          <w:rFonts w:hint="eastAsia"/>
          <w:sz w:val="24"/>
          <w:lang w:val="en-US"/>
        </w:rPr>
        <w:t>及</w:t>
      </w:r>
      <w:r>
        <w:rPr>
          <w:rFonts w:hint="eastAsia"/>
          <w:sz w:val="24"/>
          <w:lang w:val="zh-TW"/>
        </w:rPr>
        <w:t>投标人参加政府采购活动前三年内，在经营活动中没有重大违法记录</w:t>
      </w:r>
      <w:r>
        <w:rPr>
          <w:rFonts w:hint="eastAsia"/>
          <w:sz w:val="24"/>
          <w:lang w:val="en-US"/>
        </w:rPr>
        <w:t>等证明材料</w:t>
      </w:r>
      <w:r>
        <w:rPr>
          <w:sz w:val="24"/>
        </w:rPr>
        <w:t>：复印件需加盖公章</w:t>
      </w:r>
    </w:p>
    <w:p>
      <w:pPr>
        <w:pStyle w:val="4"/>
      </w:pPr>
      <w:r>
        <w:t>备注：询价响应单位应确保证明文件的真实性、合法性、有效性，否则后果自负。</w:t>
      </w:r>
    </w:p>
    <w:p>
      <w:pPr>
        <w:pStyle w:val="5"/>
        <w:rPr>
          <w:b/>
          <w:sz w:val="20"/>
        </w:rPr>
      </w:pPr>
    </w:p>
    <w:p>
      <w:pPr>
        <w:pStyle w:val="5"/>
        <w:rPr>
          <w:b/>
          <w:sz w:val="20"/>
        </w:rPr>
      </w:pPr>
    </w:p>
    <w:p>
      <w:pPr>
        <w:pStyle w:val="5"/>
        <w:rPr>
          <w:b/>
          <w:sz w:val="20"/>
        </w:rPr>
      </w:pPr>
    </w:p>
    <w:p>
      <w:pPr>
        <w:pStyle w:val="5"/>
        <w:rPr>
          <w:b/>
          <w:sz w:val="20"/>
        </w:rPr>
      </w:pPr>
    </w:p>
    <w:p>
      <w:pPr>
        <w:pStyle w:val="5"/>
        <w:rPr>
          <w:b/>
          <w:sz w:val="20"/>
        </w:rPr>
      </w:pPr>
    </w:p>
    <w:p>
      <w:pPr>
        <w:pStyle w:val="5"/>
        <w:rPr>
          <w:b/>
          <w:sz w:val="20"/>
        </w:rPr>
      </w:pPr>
    </w:p>
    <w:p>
      <w:pPr>
        <w:pStyle w:val="5"/>
        <w:rPr>
          <w:b/>
          <w:sz w:val="20"/>
        </w:rPr>
      </w:pPr>
    </w:p>
    <w:p>
      <w:pPr>
        <w:pStyle w:val="5"/>
        <w:rPr>
          <w:b/>
          <w:sz w:val="20"/>
        </w:rPr>
      </w:pPr>
    </w:p>
    <w:p>
      <w:pPr>
        <w:pStyle w:val="5"/>
        <w:rPr>
          <w:b/>
          <w:sz w:val="20"/>
        </w:rPr>
      </w:pPr>
    </w:p>
    <w:p>
      <w:pPr>
        <w:pStyle w:val="5"/>
        <w:rPr>
          <w:b/>
          <w:sz w:val="20"/>
        </w:rPr>
      </w:pPr>
    </w:p>
    <w:p>
      <w:pPr>
        <w:pStyle w:val="5"/>
        <w:rPr>
          <w:b/>
          <w:sz w:val="20"/>
        </w:rPr>
      </w:pPr>
    </w:p>
    <w:p>
      <w:pPr>
        <w:pStyle w:val="5"/>
        <w:rPr>
          <w:b/>
          <w:sz w:val="20"/>
        </w:rPr>
      </w:pPr>
    </w:p>
    <w:p>
      <w:pPr>
        <w:pStyle w:val="5"/>
        <w:spacing w:before="7"/>
        <w:rPr>
          <w:b/>
          <w:sz w:val="19"/>
        </w:rPr>
      </w:pPr>
    </w:p>
    <w:sectPr>
      <w:headerReference r:id="rId7" w:type="default"/>
      <w:pgSz w:w="11910" w:h="16840"/>
      <w:pgMar w:top="780" w:right="620" w:bottom="280" w:left="740" w:header="586"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0543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7"/>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0">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05431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zql5uc8AAAAF&#10;AQAADwAAAAAAAAABACAAAAAiAAAAZHJzL2Rvd25yZXYueG1sUEsBAhQAFAAAAAgAh07iQOvhCoyz&#10;AQAAWgMAAA4AAAAAAAAAAQAgAAAAHgEAAGRycy9lMm9Eb2MueG1sUEsFBgAAAAAGAAYAWQEAAEMF&#10;AAAAAA==&#10;">
              <v:fill on="f" focussize="0,0"/>
              <v:stroke on="f"/>
              <v:imagedata o:title=""/>
              <o:lock v:ext="edit" aspectratio="f"/>
              <v:textbox inset="0mm,0mm,0mm,0mm" style="mso-fit-shape-to-text:t;">
                <w:txbxContent>
                  <w:p>
                    <w:pPr>
                      <w:pStyle w:val="7"/>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mc:AlternateContent>
        <mc:Choice Requires="wps">
          <w:drawing>
            <wp:anchor distT="0" distB="0" distL="114300" distR="114300" simplePos="0" relativeHeight="250535936" behindDoc="1" locked="0" layoutInCell="1" allowOverlap="1">
              <wp:simplePos x="0" y="0"/>
              <wp:positionH relativeFrom="page">
                <wp:posOffset>1451610</wp:posOffset>
              </wp:positionH>
              <wp:positionV relativeFrom="page">
                <wp:posOffset>222885</wp:posOffset>
              </wp:positionV>
              <wp:extent cx="4494530" cy="316230"/>
              <wp:effectExtent l="0" t="0" r="0" b="0"/>
              <wp:wrapNone/>
              <wp:docPr id="5" name="文本框 2"/>
              <wp:cNvGraphicFramePr/>
              <a:graphic xmlns:a="http://schemas.openxmlformats.org/drawingml/2006/main">
                <a:graphicData uri="http://schemas.microsoft.com/office/word/2010/wordprocessingShape">
                  <wps:wsp>
                    <wps:cNvSpPr txBox="1"/>
                    <wps:spPr>
                      <a:xfrm>
                        <a:off x="0" y="0"/>
                        <a:ext cx="3053715" cy="152400"/>
                      </a:xfrm>
                      <a:prstGeom prst="rect">
                        <a:avLst/>
                      </a:prstGeom>
                      <a:noFill/>
                      <a:ln>
                        <a:noFill/>
                      </a:ln>
                      <a:effectLst/>
                    </wps:spPr>
                    <wps:txbx>
                      <w:txbxContent>
                        <w:p>
                          <w:pPr>
                            <w:spacing w:before="3"/>
                            <w:jc w:val="both"/>
                            <w:rPr>
                              <w:rFonts w:ascii="宋体" w:eastAsia="宋体"/>
                              <w:sz w:val="18"/>
                            </w:rPr>
                          </w:pPr>
                        </w:p>
                        <w:p>
                          <w:pPr>
                            <w:pBdr>
                              <w:bottom w:val="single" w:color="auto" w:sz="4" w:space="1"/>
                            </w:pBdr>
                            <w:jc w:val="center"/>
                          </w:pPr>
                          <w:r>
                            <w:rPr>
                              <w:rFonts w:hint="eastAsia" w:ascii="宋体" w:eastAsia="宋体"/>
                              <w:spacing w:val="-5"/>
                              <w:sz w:val="21"/>
                              <w:szCs w:val="21"/>
                            </w:rPr>
                            <w:t>呈贡区教育体育局学校建设工程项目第三方审核服务</w:t>
                          </w:r>
                          <w:r>
                            <w:rPr>
                              <w:rFonts w:hint="eastAsia" w:ascii="宋体" w:eastAsia="宋体"/>
                              <w:spacing w:val="-5"/>
                              <w:sz w:val="21"/>
                              <w:szCs w:val="21"/>
                              <w:lang w:val="en-US"/>
                            </w:rPr>
                            <w:t>询价函</w:t>
                          </w:r>
                        </w:p>
                        <w:p>
                          <w:pPr>
                            <w:rPr>
                              <w:rFonts w:ascii="宋体" w:eastAsia="宋体"/>
                              <w:spacing w:val="-5"/>
                              <w:sz w:val="21"/>
                              <w:szCs w:val="21"/>
                              <w:lang w:val="en-US"/>
                            </w:rPr>
                          </w:pPr>
                          <w:r>
                            <w:rPr>
                              <w:rFonts w:hint="eastAsia" w:ascii="宋体" w:eastAsia="宋体"/>
                              <w:spacing w:val="-5"/>
                              <w:sz w:val="21"/>
                              <w:szCs w:val="21"/>
                            </w:rPr>
                            <w:t>询价函</w:t>
                          </w:r>
                        </w:p>
                      </w:txbxContent>
                    </wps:txbx>
                    <wps:bodyPr lIns="0" tIns="0" rIns="0" bIns="0" upright="1"/>
                  </wps:wsp>
                </a:graphicData>
              </a:graphic>
            </wp:anchor>
          </w:drawing>
        </mc:Choice>
        <mc:Fallback>
          <w:pict>
            <v:shape id="文本框 2" o:spid="_x0000_s1026" o:spt="202" type="#_x0000_t202" style="position:absolute;left:0pt;margin-left:114.3pt;margin-top:17.55pt;height:24.9pt;width:353.9pt;mso-position-horizontal-relative:page;mso-position-vertical-relative:page;z-index:-252780544;mso-width-relative:page;mso-height-relative:page;" filled="f" stroked="f" coordsize="21600,21600" o:gfxdata="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A8ToTb2QAAAAkBAAAP&#10;AAAAAAAAAAEAIAAAACIAAABkcnMvZG93bnJldi54bWxQSwECFAAUAAAACACHTuJAMrRsCKUBAAAy&#10;AwAADgAAAAAAAAABACAAAAAoAQAAZHJzL2Uyb0RvYy54bWxQSwUGAAAAAAYABgBZAQAAPwUAAAAA&#10;">
              <v:fill on="f" focussize="0,0"/>
              <v:stroke on="f"/>
              <v:imagedata o:title=""/>
              <o:lock v:ext="edit" aspectratio="f"/>
              <v:textbox inset="0mm,0mm,0mm,0mm">
                <w:txbxContent>
                  <w:p>
                    <w:pPr>
                      <w:spacing w:before="3"/>
                      <w:jc w:val="both"/>
                      <w:rPr>
                        <w:rFonts w:ascii="宋体" w:eastAsia="宋体"/>
                        <w:sz w:val="18"/>
                      </w:rPr>
                    </w:pPr>
                  </w:p>
                  <w:p>
                    <w:pPr>
                      <w:pBdr>
                        <w:bottom w:val="single" w:color="auto" w:sz="4" w:space="1"/>
                      </w:pBdr>
                      <w:jc w:val="center"/>
                    </w:pPr>
                    <w:r>
                      <w:rPr>
                        <w:rFonts w:hint="eastAsia" w:ascii="宋体" w:eastAsia="宋体"/>
                        <w:spacing w:val="-5"/>
                        <w:sz w:val="21"/>
                        <w:szCs w:val="21"/>
                      </w:rPr>
                      <w:t>呈贡区教育体育局学校建设工程项目第三方审核服务</w:t>
                    </w:r>
                    <w:r>
                      <w:rPr>
                        <w:rFonts w:hint="eastAsia" w:ascii="宋体" w:eastAsia="宋体"/>
                        <w:spacing w:val="-5"/>
                        <w:sz w:val="21"/>
                        <w:szCs w:val="21"/>
                        <w:lang w:val="en-US"/>
                      </w:rPr>
                      <w:t>询价函</w:t>
                    </w:r>
                  </w:p>
                  <w:p>
                    <w:pPr>
                      <w:rPr>
                        <w:rFonts w:ascii="宋体" w:eastAsia="宋体"/>
                        <w:spacing w:val="-5"/>
                        <w:sz w:val="21"/>
                        <w:szCs w:val="21"/>
                        <w:lang w:val="en-US"/>
                      </w:rPr>
                    </w:pPr>
                    <w:r>
                      <w:rPr>
                        <w:rFonts w:hint="eastAsia" w:ascii="宋体" w:eastAsia="宋体"/>
                        <w:spacing w:val="-5"/>
                        <w:sz w:val="21"/>
                        <w:szCs w:val="21"/>
                      </w:rPr>
                      <w:t>询价函</w:t>
                    </w:r>
                  </w:p>
                </w:txbxContent>
              </v:textbox>
            </v:shape>
          </w:pict>
        </mc:Fallback>
      </mc:AlternateContent>
    </w:r>
  </w:p>
  <w:p>
    <w:pPr>
      <w:pStyle w:val="5"/>
      <w:spacing w:line="14" w:lineRule="auto"/>
      <w:rPr>
        <w:sz w:val="20"/>
      </w:rPr>
    </w:pPr>
    <w:r>
      <mc:AlternateContent>
        <mc:Choice Requires="wps">
          <w:drawing>
            <wp:anchor distT="0" distB="0" distL="114300" distR="114300" simplePos="0" relativeHeight="250534912" behindDoc="1" locked="0" layoutInCell="1" allowOverlap="1">
              <wp:simplePos x="0" y="0"/>
              <wp:positionH relativeFrom="page">
                <wp:posOffset>539750</wp:posOffset>
              </wp:positionH>
              <wp:positionV relativeFrom="page">
                <wp:posOffset>523240</wp:posOffset>
              </wp:positionV>
              <wp:extent cx="6480810" cy="0"/>
              <wp:effectExtent l="0" t="0" r="0" b="0"/>
              <wp:wrapNone/>
              <wp:docPr id="4" name="直线 1"/>
              <wp:cNvGraphicFramePr/>
              <a:graphic xmlns:a="http://schemas.openxmlformats.org/drawingml/2006/main">
                <a:graphicData uri="http://schemas.microsoft.com/office/word/2010/wordprocessingShape">
                  <wps:wsp>
                    <wps:cNvCnPr/>
                    <wps:spPr>
                      <a:xfrm>
                        <a:off x="0" y="0"/>
                        <a:ext cx="6480810" cy="0"/>
                      </a:xfrm>
                      <a:prstGeom prst="line">
                        <a:avLst/>
                      </a:prstGeom>
                      <a:ln w="6096" cap="flat" cmpd="sng">
                        <a:solidFill>
                          <a:srgbClr val="000000"/>
                        </a:solidFill>
                        <a:prstDash val="solid"/>
                        <a:headEnd type="none" w="med" len="med"/>
                        <a:tailEnd type="none" w="med" len="med"/>
                      </a:ln>
                      <a:effectLst/>
                    </wps:spPr>
                    <wps:bodyPr upright="1"/>
                  </wps:wsp>
                </a:graphicData>
              </a:graphic>
            </wp:anchor>
          </w:drawing>
        </mc:Choice>
        <mc:Fallback>
          <w:pict>
            <v:line id="直线 1" o:spid="_x0000_s1026" o:spt="20" style="position:absolute;left:0pt;margin-left:42.5pt;margin-top:41.2pt;height:0pt;width:510.3pt;mso-position-horizontal-relative:page;mso-position-vertical-relative:page;z-index:-252781568;mso-width-relative:page;mso-height-relative:page;" filled="f" stroked="t" coordsize="21600,21600" o:gfxdata="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Wc0TY9gAAAAJAQAADwAAAAAAAAABACAAAAAi&#10;AAAAZHJzL2Rvd25yZXYueG1sUEsBAhQAFAAAAAgAh07iQM6kyUzRAQAAmwMAAA4AAAAAAAAAAQAg&#10;AAAAJwEAAGRycy9lMm9Eb2MueG1sUEsFBgAAAAAGAAYAWQEAAGoFAAAAAA==&#10;">
              <v:fill on="f" focussize="0,0"/>
              <v:stroke weight="0.48pt" color="#000000" joinstyle="round"/>
              <v:imagedata o:title=""/>
              <o:lock v:ext="edit" aspectratio="f"/>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3"/>
      <w:jc w:val="both"/>
      <w:rPr>
        <w:rFonts w:ascii="宋体" w:eastAsia="宋体"/>
        <w:sz w:val="18"/>
      </w:rPr>
    </w:pPr>
  </w:p>
  <w:p>
    <w:pPr>
      <w:pBdr>
        <w:bottom w:val="single" w:color="auto" w:sz="4" w:space="1"/>
      </w:pBdr>
      <w:jc w:val="center"/>
    </w:pPr>
    <w:r>
      <w:rPr>
        <w:rFonts w:hint="eastAsia" w:ascii="宋体" w:eastAsia="宋体"/>
        <w:spacing w:val="-5"/>
        <w:sz w:val="21"/>
        <w:szCs w:val="21"/>
      </w:rPr>
      <w:t>呈贡区教育体育局学校建设工程项目第三方审核服务</w:t>
    </w:r>
    <w:r>
      <w:rPr>
        <w:rFonts w:hint="eastAsia" w:ascii="宋体" w:eastAsia="宋体"/>
        <w:spacing w:val="-5"/>
        <w:sz w:val="21"/>
        <w:szCs w:val="21"/>
        <w:lang w:val="en-US"/>
      </w:rPr>
      <w:t>询价函</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mc:AlternateContent>
        <mc:Choice Requires="wps">
          <w:drawing>
            <wp:anchor distT="0" distB="0" distL="114300" distR="114300" simplePos="0" relativeHeight="250541056" behindDoc="1" locked="0" layoutInCell="1" allowOverlap="1">
              <wp:simplePos x="0" y="0"/>
              <wp:positionH relativeFrom="page">
                <wp:posOffset>2252980</wp:posOffset>
              </wp:positionH>
              <wp:positionV relativeFrom="page">
                <wp:posOffset>340995</wp:posOffset>
              </wp:positionV>
              <wp:extent cx="3583305" cy="171450"/>
              <wp:effectExtent l="0" t="0" r="0" b="0"/>
              <wp:wrapNone/>
              <wp:docPr id="7" name="文本框 7"/>
              <wp:cNvGraphicFramePr/>
              <a:graphic xmlns:a="http://schemas.openxmlformats.org/drawingml/2006/main">
                <a:graphicData uri="http://schemas.microsoft.com/office/word/2010/wordprocessingShape">
                  <wps:wsp>
                    <wps:cNvSpPr txBox="1"/>
                    <wps:spPr>
                      <a:xfrm>
                        <a:off x="0" y="0"/>
                        <a:ext cx="3053715" cy="152400"/>
                      </a:xfrm>
                      <a:prstGeom prst="rect">
                        <a:avLst/>
                      </a:prstGeom>
                      <a:noFill/>
                      <a:ln>
                        <a:noFill/>
                      </a:ln>
                      <a:effectLst/>
                    </wps:spPr>
                    <wps:txbx>
                      <w:txbxContent>
                        <w:p>
                          <w:r>
                            <w:rPr>
                              <w:rFonts w:hint="eastAsia" w:ascii="宋体" w:eastAsia="宋体"/>
                              <w:spacing w:val="-5"/>
                              <w:sz w:val="21"/>
                              <w:szCs w:val="21"/>
                            </w:rPr>
                            <w:t>呈贡区教育体育局学校建设工程项目第三方审核服务</w:t>
                          </w:r>
                          <w:r>
                            <w:rPr>
                              <w:rFonts w:hint="eastAsia" w:ascii="宋体" w:eastAsia="宋体"/>
                              <w:spacing w:val="-5"/>
                              <w:sz w:val="21"/>
                              <w:szCs w:val="21"/>
                              <w:lang w:val="en-US"/>
                            </w:rPr>
                            <w:t>询价函</w:t>
                          </w:r>
                        </w:p>
                      </w:txbxContent>
                    </wps:txbx>
                    <wps:bodyPr lIns="0" tIns="0" rIns="0" bIns="0" upright="1"/>
                  </wps:wsp>
                </a:graphicData>
              </a:graphic>
            </wp:anchor>
          </w:drawing>
        </mc:Choice>
        <mc:Fallback>
          <w:pict>
            <v:shape id="_x0000_s1026" o:spid="_x0000_s1026" o:spt="202" type="#_x0000_t202" style="position:absolute;left:0pt;margin-left:177.4pt;margin-top:26.85pt;height:13.5pt;width:282.15pt;mso-position-horizontal-relative:page;mso-position-vertical-relative:page;z-index:-252775424;mso-width-relative:page;mso-height-relative:page;" filled="f" stroked="f" coordsize="21600,21600" o:gfxdata="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YoI7Y9kAAAAJAQAA&#10;DwAAAAAAAAABACAAAAAiAAAAZHJzL2Rvd25yZXYueG1sUEsBAhQAFAAAAAgAh07iQCqi3pKmAQAA&#10;MgMAAA4AAAAAAAAAAQAgAAAAKAEAAGRycy9lMm9Eb2MueG1sUEsFBgAAAAAGAAYAWQEAAEAFAAAA&#10;AA==&#10;">
              <v:fill on="f" focussize="0,0"/>
              <v:stroke on="f"/>
              <v:imagedata o:title=""/>
              <o:lock v:ext="edit" aspectratio="f"/>
              <v:textbox inset="0mm,0mm,0mm,0mm">
                <w:txbxContent>
                  <w:p>
                    <w:r>
                      <w:rPr>
                        <w:rFonts w:hint="eastAsia" w:ascii="宋体" w:eastAsia="宋体"/>
                        <w:spacing w:val="-5"/>
                        <w:sz w:val="21"/>
                        <w:szCs w:val="21"/>
                      </w:rPr>
                      <w:t>呈贡区教育体育局学校建设工程项目第三方审核服务</w:t>
                    </w:r>
                    <w:r>
                      <w:rPr>
                        <w:rFonts w:hint="eastAsia" w:ascii="宋体" w:eastAsia="宋体"/>
                        <w:spacing w:val="-5"/>
                        <w:sz w:val="21"/>
                        <w:szCs w:val="21"/>
                        <w:lang w:val="en-US"/>
                      </w:rPr>
                      <w:t>询价函</w:t>
                    </w:r>
                  </w:p>
                </w:txbxContent>
              </v:textbox>
            </v:shape>
          </w:pict>
        </mc:Fallback>
      </mc:AlternateContent>
    </w:r>
    <w:r>
      <mc:AlternateContent>
        <mc:Choice Requires="wps">
          <w:drawing>
            <wp:anchor distT="0" distB="0" distL="114300" distR="114300" simplePos="0" relativeHeight="250540032" behindDoc="1" locked="0" layoutInCell="1" allowOverlap="1">
              <wp:simplePos x="0" y="0"/>
              <wp:positionH relativeFrom="page">
                <wp:posOffset>539750</wp:posOffset>
              </wp:positionH>
              <wp:positionV relativeFrom="page">
                <wp:posOffset>523240</wp:posOffset>
              </wp:positionV>
              <wp:extent cx="6480810" cy="0"/>
              <wp:effectExtent l="0" t="0" r="0" b="0"/>
              <wp:wrapNone/>
              <wp:docPr id="6" name="直线 6"/>
              <wp:cNvGraphicFramePr/>
              <a:graphic xmlns:a="http://schemas.openxmlformats.org/drawingml/2006/main">
                <a:graphicData uri="http://schemas.microsoft.com/office/word/2010/wordprocessingShape">
                  <wps:wsp>
                    <wps:cNvCnPr/>
                    <wps:spPr>
                      <a:xfrm>
                        <a:off x="0" y="0"/>
                        <a:ext cx="6480810" cy="0"/>
                      </a:xfrm>
                      <a:prstGeom prst="line">
                        <a:avLst/>
                      </a:prstGeom>
                      <a:ln w="6096" cap="flat" cmpd="sng">
                        <a:solidFill>
                          <a:srgbClr val="000000"/>
                        </a:solidFill>
                        <a:prstDash val="solid"/>
                        <a:headEnd type="none" w="med" len="med"/>
                        <a:tailEnd type="none" w="med" len="med"/>
                      </a:ln>
                      <a:effectLst/>
                    </wps:spPr>
                    <wps:bodyPr upright="1"/>
                  </wps:wsp>
                </a:graphicData>
              </a:graphic>
            </wp:anchor>
          </w:drawing>
        </mc:Choice>
        <mc:Fallback>
          <w:pict>
            <v:line id="直线 6" o:spid="_x0000_s1026" o:spt="20" style="position:absolute;left:0pt;margin-left:42.5pt;margin-top:41.2pt;height:0pt;width:510.3pt;mso-position-horizontal-relative:page;mso-position-vertical-relative:page;z-index:-252776448;mso-width-relative:page;mso-height-relative:page;" filled="f" stroked="t" coordsize="21600,21600" o:gfxdata="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Wc0TY9gAAAAJAQAADwAAAAAAAAABACAAAAAi&#10;AAAAZHJzL2Rvd25yZXYueG1sUEsBAhQAFAAAAAgAh07iQLWrFV3RAQAAmwMAAA4AAAAAAAAAAQAg&#10;AAAAJwEAAGRycy9lMm9Eb2MueG1sUEsFBgAAAAAGAAYAWQEAAGoFAAAAAA==&#10;">
              <v:fill on="f" focussize="0,0"/>
              <v:stroke weight="0.48pt" color="#000000" joinstyle="round"/>
              <v:imagedata o:title=""/>
              <o:lock v:ext="edit" aspectratio="f"/>
            </v:lin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mc:AlternateContent>
        <mc:Choice Requires="wps">
          <w:drawing>
            <wp:anchor distT="0" distB="0" distL="114300" distR="114300" simplePos="0" relativeHeight="250542080" behindDoc="1" locked="0" layoutInCell="1" allowOverlap="1">
              <wp:simplePos x="0" y="0"/>
              <wp:positionH relativeFrom="page">
                <wp:posOffset>2252980</wp:posOffset>
              </wp:positionH>
              <wp:positionV relativeFrom="page">
                <wp:posOffset>360045</wp:posOffset>
              </wp:positionV>
              <wp:extent cx="3053715" cy="1524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3053715" cy="152400"/>
                      </a:xfrm>
                      <a:prstGeom prst="rect">
                        <a:avLst/>
                      </a:prstGeom>
                      <a:noFill/>
                      <a:ln>
                        <a:noFill/>
                      </a:ln>
                      <a:effectLst/>
                    </wps:spPr>
                    <wps:txbx>
                      <w:txbxContent>
                        <w:p>
                          <w:r>
                            <w:rPr>
                              <w:rFonts w:hint="eastAsia" w:ascii="宋体" w:eastAsia="宋体"/>
                              <w:spacing w:val="-5"/>
                              <w:sz w:val="21"/>
                              <w:szCs w:val="21"/>
                            </w:rPr>
                            <w:t>呈贡区教育体育局学校建设工程项目第三方审核服务</w:t>
                          </w:r>
                          <w:r>
                            <w:rPr>
                              <w:rFonts w:hint="eastAsia" w:ascii="宋体" w:eastAsia="宋体"/>
                              <w:spacing w:val="-5"/>
                              <w:sz w:val="21"/>
                              <w:szCs w:val="21"/>
                              <w:lang w:val="en-US"/>
                            </w:rPr>
                            <w:t>询价函</w:t>
                          </w:r>
                        </w:p>
                        <w:p/>
                      </w:txbxContent>
                    </wps:txbx>
                    <wps:bodyPr lIns="0" tIns="0" rIns="0" bIns="0" upright="1"/>
                  </wps:wsp>
                </a:graphicData>
              </a:graphic>
            </wp:anchor>
          </w:drawing>
        </mc:Choice>
        <mc:Fallback>
          <w:pict>
            <v:shape id="_x0000_s1026" o:spid="_x0000_s1026" o:spt="202" type="#_x0000_t202" style="position:absolute;left:0pt;margin-left:177.4pt;margin-top:28.35pt;height:12pt;width:240.45pt;mso-position-horizontal-relative:page;mso-position-vertical-relative:page;z-index:-252774400;mso-width-relative:page;mso-height-relative:page;" filled="f" stroked="f" coordsize="21600,21600" o:gfxdata="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NnT1sDYAAAACQEAAA8A&#10;AAAAAAAAAQAgAAAAIgAAAGRycy9kb3ducmV2LnhtbFBLAQIUABQAAAAIAIdO4kCH4W+MpQEAADID&#10;AAAOAAAAAAAAAAEAIAAAACcBAABkcnMvZTJvRG9jLnhtbFBLBQYAAAAABgAGAFkBAAA+BQAAAAA=&#10;">
              <v:fill on="f" focussize="0,0"/>
              <v:stroke on="f"/>
              <v:imagedata o:title=""/>
              <o:lock v:ext="edit" aspectratio="f"/>
              <v:textbox inset="0mm,0mm,0mm,0mm">
                <w:txbxContent>
                  <w:p>
                    <w:r>
                      <w:rPr>
                        <w:rFonts w:hint="eastAsia" w:ascii="宋体" w:eastAsia="宋体"/>
                        <w:spacing w:val="-5"/>
                        <w:sz w:val="21"/>
                        <w:szCs w:val="21"/>
                      </w:rPr>
                      <w:t>呈贡区教育体育局学校建设工程项目第三方审核服务</w:t>
                    </w:r>
                    <w:r>
                      <w:rPr>
                        <w:rFonts w:hint="eastAsia" w:ascii="宋体" w:eastAsia="宋体"/>
                        <w:spacing w:val="-5"/>
                        <w:sz w:val="21"/>
                        <w:szCs w:val="21"/>
                        <w:lang w:val="en-US"/>
                      </w:rPr>
                      <w:t>询价函</w:t>
                    </w:r>
                  </w:p>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3208E"/>
    <w:multiLevelType w:val="multilevel"/>
    <w:tmpl w:val="0053208E"/>
    <w:lvl w:ilvl="0" w:tentative="0">
      <w:start w:val="3"/>
      <w:numFmt w:val="decimal"/>
      <w:lvlText w:val="%1"/>
      <w:lvlJc w:val="left"/>
      <w:pPr>
        <w:ind w:left="988" w:hanging="399"/>
        <w:jc w:val="left"/>
      </w:pPr>
      <w:rPr>
        <w:rFonts w:hint="default"/>
        <w:lang w:val="zh-CN" w:eastAsia="zh-CN" w:bidi="zh-CN"/>
      </w:rPr>
    </w:lvl>
    <w:lvl w:ilvl="1" w:tentative="0">
      <w:start w:val="1"/>
      <w:numFmt w:val="decimal"/>
      <w:lvlText w:val="%1.%2"/>
      <w:lvlJc w:val="left"/>
      <w:pPr>
        <w:ind w:left="988" w:hanging="399"/>
        <w:jc w:val="left"/>
      </w:pPr>
      <w:rPr>
        <w:rFonts w:hint="default" w:ascii="微软雅黑" w:hAnsi="微软雅黑" w:eastAsia="微软雅黑" w:cs="微软雅黑"/>
        <w:spacing w:val="-1"/>
        <w:w w:val="100"/>
        <w:sz w:val="24"/>
        <w:szCs w:val="24"/>
        <w:lang w:val="zh-CN" w:eastAsia="zh-CN" w:bidi="zh-CN"/>
      </w:rPr>
    </w:lvl>
    <w:lvl w:ilvl="2" w:tentative="0">
      <w:start w:val="1"/>
      <w:numFmt w:val="decimal"/>
      <w:lvlText w:val="%1.%2.%3"/>
      <w:lvlJc w:val="left"/>
      <w:pPr>
        <w:ind w:left="1187" w:hanging="598"/>
        <w:jc w:val="left"/>
      </w:pPr>
      <w:rPr>
        <w:rFonts w:hint="default" w:ascii="微软雅黑" w:hAnsi="微软雅黑" w:eastAsia="微软雅黑" w:cs="微软雅黑"/>
        <w:spacing w:val="-1"/>
        <w:w w:val="100"/>
        <w:sz w:val="24"/>
        <w:szCs w:val="24"/>
        <w:lang w:val="zh-CN" w:eastAsia="zh-CN" w:bidi="zh-CN"/>
      </w:rPr>
    </w:lvl>
    <w:lvl w:ilvl="3" w:tentative="0">
      <w:start w:val="0"/>
      <w:numFmt w:val="bullet"/>
      <w:lvlText w:val="•"/>
      <w:lvlJc w:val="left"/>
      <w:pPr>
        <w:ind w:left="3261" w:hanging="598"/>
      </w:pPr>
      <w:rPr>
        <w:rFonts w:hint="default"/>
        <w:lang w:val="zh-CN" w:eastAsia="zh-CN" w:bidi="zh-CN"/>
      </w:rPr>
    </w:lvl>
    <w:lvl w:ilvl="4" w:tentative="0">
      <w:start w:val="0"/>
      <w:numFmt w:val="bullet"/>
      <w:lvlText w:val="•"/>
      <w:lvlJc w:val="left"/>
      <w:pPr>
        <w:ind w:left="4302" w:hanging="598"/>
      </w:pPr>
      <w:rPr>
        <w:rFonts w:hint="default"/>
        <w:lang w:val="zh-CN" w:eastAsia="zh-CN" w:bidi="zh-CN"/>
      </w:rPr>
    </w:lvl>
    <w:lvl w:ilvl="5" w:tentative="0">
      <w:start w:val="0"/>
      <w:numFmt w:val="bullet"/>
      <w:lvlText w:val="•"/>
      <w:lvlJc w:val="left"/>
      <w:pPr>
        <w:ind w:left="5342" w:hanging="598"/>
      </w:pPr>
      <w:rPr>
        <w:rFonts w:hint="default"/>
        <w:lang w:val="zh-CN" w:eastAsia="zh-CN" w:bidi="zh-CN"/>
      </w:rPr>
    </w:lvl>
    <w:lvl w:ilvl="6" w:tentative="0">
      <w:start w:val="0"/>
      <w:numFmt w:val="bullet"/>
      <w:lvlText w:val="•"/>
      <w:lvlJc w:val="left"/>
      <w:pPr>
        <w:ind w:left="6383" w:hanging="598"/>
      </w:pPr>
      <w:rPr>
        <w:rFonts w:hint="default"/>
        <w:lang w:val="zh-CN" w:eastAsia="zh-CN" w:bidi="zh-CN"/>
      </w:rPr>
    </w:lvl>
    <w:lvl w:ilvl="7" w:tentative="0">
      <w:start w:val="0"/>
      <w:numFmt w:val="bullet"/>
      <w:lvlText w:val="•"/>
      <w:lvlJc w:val="left"/>
      <w:pPr>
        <w:ind w:left="7424" w:hanging="598"/>
      </w:pPr>
      <w:rPr>
        <w:rFonts w:hint="default"/>
        <w:lang w:val="zh-CN" w:eastAsia="zh-CN" w:bidi="zh-CN"/>
      </w:rPr>
    </w:lvl>
    <w:lvl w:ilvl="8" w:tentative="0">
      <w:start w:val="0"/>
      <w:numFmt w:val="bullet"/>
      <w:lvlText w:val="•"/>
      <w:lvlJc w:val="left"/>
      <w:pPr>
        <w:ind w:left="8464" w:hanging="598"/>
      </w:pPr>
      <w:rPr>
        <w:rFonts w:hint="default"/>
        <w:lang w:val="zh-CN" w:eastAsia="zh-CN" w:bidi="zh-CN"/>
      </w:rPr>
    </w:lvl>
  </w:abstractNum>
  <w:abstractNum w:abstractNumId="1">
    <w:nsid w:val="59ADCABA"/>
    <w:multiLevelType w:val="multilevel"/>
    <w:tmpl w:val="59ADCABA"/>
    <w:lvl w:ilvl="0" w:tentative="0">
      <w:start w:val="1"/>
      <w:numFmt w:val="decimal"/>
      <w:lvlText w:val="（%1）"/>
      <w:lvlJc w:val="left"/>
      <w:pPr>
        <w:ind w:left="729" w:hanging="621"/>
        <w:jc w:val="left"/>
      </w:pPr>
      <w:rPr>
        <w:rFonts w:hint="default" w:ascii="微软雅黑" w:hAnsi="微软雅黑" w:eastAsia="微软雅黑" w:cs="微软雅黑"/>
        <w:spacing w:val="-2"/>
        <w:w w:val="100"/>
        <w:sz w:val="22"/>
        <w:szCs w:val="22"/>
        <w:lang w:val="zh-CN" w:eastAsia="zh-CN" w:bidi="zh-CN"/>
      </w:rPr>
    </w:lvl>
    <w:lvl w:ilvl="1" w:tentative="0">
      <w:start w:val="0"/>
      <w:numFmt w:val="bullet"/>
      <w:lvlText w:val="•"/>
      <w:lvlJc w:val="left"/>
      <w:pPr>
        <w:ind w:left="1702" w:hanging="621"/>
      </w:pPr>
      <w:rPr>
        <w:rFonts w:hint="default"/>
        <w:lang w:val="zh-CN" w:eastAsia="zh-CN" w:bidi="zh-CN"/>
      </w:rPr>
    </w:lvl>
    <w:lvl w:ilvl="2" w:tentative="0">
      <w:start w:val="0"/>
      <w:numFmt w:val="bullet"/>
      <w:lvlText w:val="•"/>
      <w:lvlJc w:val="left"/>
      <w:pPr>
        <w:ind w:left="2685" w:hanging="621"/>
      </w:pPr>
      <w:rPr>
        <w:rFonts w:hint="default"/>
        <w:lang w:val="zh-CN" w:eastAsia="zh-CN" w:bidi="zh-CN"/>
      </w:rPr>
    </w:lvl>
    <w:lvl w:ilvl="3" w:tentative="0">
      <w:start w:val="0"/>
      <w:numFmt w:val="bullet"/>
      <w:lvlText w:val="•"/>
      <w:lvlJc w:val="left"/>
      <w:pPr>
        <w:ind w:left="3667" w:hanging="621"/>
      </w:pPr>
      <w:rPr>
        <w:rFonts w:hint="default"/>
        <w:lang w:val="zh-CN" w:eastAsia="zh-CN" w:bidi="zh-CN"/>
      </w:rPr>
    </w:lvl>
    <w:lvl w:ilvl="4" w:tentative="0">
      <w:start w:val="0"/>
      <w:numFmt w:val="bullet"/>
      <w:lvlText w:val="•"/>
      <w:lvlJc w:val="left"/>
      <w:pPr>
        <w:ind w:left="4650" w:hanging="621"/>
      </w:pPr>
      <w:rPr>
        <w:rFonts w:hint="default"/>
        <w:lang w:val="zh-CN" w:eastAsia="zh-CN" w:bidi="zh-CN"/>
      </w:rPr>
    </w:lvl>
    <w:lvl w:ilvl="5" w:tentative="0">
      <w:start w:val="0"/>
      <w:numFmt w:val="bullet"/>
      <w:lvlText w:val="•"/>
      <w:lvlJc w:val="left"/>
      <w:pPr>
        <w:ind w:left="5633" w:hanging="621"/>
      </w:pPr>
      <w:rPr>
        <w:rFonts w:hint="default"/>
        <w:lang w:val="zh-CN" w:eastAsia="zh-CN" w:bidi="zh-CN"/>
      </w:rPr>
    </w:lvl>
    <w:lvl w:ilvl="6" w:tentative="0">
      <w:start w:val="0"/>
      <w:numFmt w:val="bullet"/>
      <w:lvlText w:val="•"/>
      <w:lvlJc w:val="left"/>
      <w:pPr>
        <w:ind w:left="6615" w:hanging="621"/>
      </w:pPr>
      <w:rPr>
        <w:rFonts w:hint="default"/>
        <w:lang w:val="zh-CN" w:eastAsia="zh-CN" w:bidi="zh-CN"/>
      </w:rPr>
    </w:lvl>
    <w:lvl w:ilvl="7" w:tentative="0">
      <w:start w:val="0"/>
      <w:numFmt w:val="bullet"/>
      <w:lvlText w:val="•"/>
      <w:lvlJc w:val="left"/>
      <w:pPr>
        <w:ind w:left="7598" w:hanging="621"/>
      </w:pPr>
      <w:rPr>
        <w:rFonts w:hint="default"/>
        <w:lang w:val="zh-CN" w:eastAsia="zh-CN" w:bidi="zh-CN"/>
      </w:rPr>
    </w:lvl>
    <w:lvl w:ilvl="8" w:tentative="0">
      <w:start w:val="0"/>
      <w:numFmt w:val="bullet"/>
      <w:lvlText w:val="•"/>
      <w:lvlJc w:val="left"/>
      <w:pPr>
        <w:ind w:left="8580" w:hanging="621"/>
      </w:pPr>
      <w:rPr>
        <w:rFonts w:hint="default"/>
        <w:lang w:val="zh-CN" w:eastAsia="zh-CN" w:bidi="zh-C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val="1"/>
  <w:bordersDoNotSurroundFooter w:val="1"/>
  <w:documentProtection w:enforcement="0"/>
  <w:defaultTabStop w:val="720"/>
  <w:drawingGridHorizontalSpacing w:val="110"/>
  <w:displayHorizontalDrawingGridEvery w:val="2"/>
  <w:characterSpacingControl w:val="doNotCompress"/>
  <w:hdrShapeDefaults>
    <o:shapelayout v:ext="edit">
      <o:idmap v:ext="edit" data="2"/>
    </o:shapelayout>
  </w:hdrShapeDefault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056B"/>
    <w:rsid w:val="000D6307"/>
    <w:rsid w:val="00243976"/>
    <w:rsid w:val="003D1B0D"/>
    <w:rsid w:val="004B75F9"/>
    <w:rsid w:val="005737C1"/>
    <w:rsid w:val="00836203"/>
    <w:rsid w:val="008615C0"/>
    <w:rsid w:val="008B5148"/>
    <w:rsid w:val="00913B25"/>
    <w:rsid w:val="00AD4E44"/>
    <w:rsid w:val="00B5056B"/>
    <w:rsid w:val="00C30C8F"/>
    <w:rsid w:val="00E45AE5"/>
    <w:rsid w:val="00E85A24"/>
    <w:rsid w:val="00F21E12"/>
    <w:rsid w:val="00FB06AE"/>
    <w:rsid w:val="00FD6C1E"/>
    <w:rsid w:val="02202407"/>
    <w:rsid w:val="028240A1"/>
    <w:rsid w:val="2EBD532B"/>
    <w:rsid w:val="30DC1A40"/>
    <w:rsid w:val="334C6E96"/>
    <w:rsid w:val="33AC1658"/>
    <w:rsid w:val="392E7717"/>
    <w:rsid w:val="3BA76D0D"/>
    <w:rsid w:val="3E411666"/>
    <w:rsid w:val="468B656B"/>
    <w:rsid w:val="470D6873"/>
    <w:rsid w:val="47E90651"/>
    <w:rsid w:val="512C0651"/>
    <w:rsid w:val="5E4C70DE"/>
    <w:rsid w:val="5E8100B1"/>
    <w:rsid w:val="74157A36"/>
    <w:rsid w:val="7B4235FE"/>
    <w:rsid w:val="7EFC6A9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微软雅黑" w:hAnsi="微软雅黑" w:eastAsia="微软雅黑" w:cs="微软雅黑"/>
      <w:sz w:val="22"/>
      <w:szCs w:val="22"/>
      <w:lang w:val="zh-CN" w:eastAsia="zh-CN" w:bidi="zh-CN"/>
    </w:rPr>
  </w:style>
  <w:style w:type="paragraph" w:styleId="2">
    <w:name w:val="heading 1"/>
    <w:basedOn w:val="1"/>
    <w:next w:val="1"/>
    <w:qFormat/>
    <w:uiPriority w:val="1"/>
    <w:pPr>
      <w:spacing w:before="15"/>
      <w:ind w:left="1571" w:right="3313"/>
      <w:jc w:val="center"/>
      <w:outlineLvl w:val="0"/>
    </w:pPr>
    <w:rPr>
      <w:b/>
      <w:bCs/>
      <w:sz w:val="32"/>
      <w:szCs w:val="32"/>
    </w:rPr>
  </w:style>
  <w:style w:type="paragraph" w:styleId="3">
    <w:name w:val="heading 2"/>
    <w:basedOn w:val="1"/>
    <w:next w:val="1"/>
    <w:qFormat/>
    <w:uiPriority w:val="1"/>
    <w:pPr>
      <w:ind w:left="4060" w:hanging="495"/>
      <w:outlineLvl w:val="1"/>
    </w:pPr>
    <w:rPr>
      <w:b/>
      <w:bCs/>
      <w:sz w:val="28"/>
      <w:szCs w:val="28"/>
    </w:rPr>
  </w:style>
  <w:style w:type="paragraph" w:styleId="4">
    <w:name w:val="heading 3"/>
    <w:basedOn w:val="1"/>
    <w:next w:val="1"/>
    <w:qFormat/>
    <w:uiPriority w:val="1"/>
    <w:pPr>
      <w:spacing w:before="193"/>
      <w:ind w:left="109"/>
      <w:outlineLvl w:val="2"/>
    </w:pPr>
    <w:rPr>
      <w:b/>
      <w:bCs/>
      <w:sz w:val="24"/>
      <w:szCs w:val="24"/>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Layout w:type="fixed"/>
      <w:tblCellMar>
        <w:top w:w="0" w:type="dxa"/>
        <w:left w:w="108" w:type="dxa"/>
        <w:bottom w:w="0" w:type="dxa"/>
        <w:right w:w="108" w:type="dxa"/>
      </w:tblCellMar>
    </w:tblPr>
  </w:style>
  <w:style w:type="paragraph" w:styleId="5">
    <w:name w:val="Body Text"/>
    <w:basedOn w:val="1"/>
    <w:qFormat/>
    <w:uiPriority w:val="1"/>
    <w:rPr>
      <w:sz w:val="24"/>
      <w:szCs w:val="24"/>
    </w:rPr>
  </w:style>
  <w:style w:type="paragraph" w:styleId="6">
    <w:name w:val="Balloon Text"/>
    <w:basedOn w:val="1"/>
    <w:link w:val="15"/>
    <w:qFormat/>
    <w:uiPriority w:val="0"/>
    <w:rPr>
      <w:sz w:val="18"/>
      <w:szCs w:val="18"/>
    </w:rPr>
  </w:style>
  <w:style w:type="paragraph" w:styleId="7">
    <w:name w:val="footer"/>
    <w:basedOn w:val="1"/>
    <w:qFormat/>
    <w:uiPriority w:val="0"/>
    <w:pPr>
      <w:tabs>
        <w:tab w:val="center" w:pos="4153"/>
        <w:tab w:val="right" w:pos="8306"/>
      </w:tabs>
      <w:snapToGrid w:val="0"/>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9">
    <w:name w:val="toc 1"/>
    <w:basedOn w:val="1"/>
    <w:next w:val="1"/>
    <w:qFormat/>
    <w:uiPriority w:val="1"/>
    <w:pPr>
      <w:spacing w:before="772"/>
      <w:ind w:left="649"/>
    </w:pPr>
    <w:rPr>
      <w:sz w:val="30"/>
      <w:szCs w:val="30"/>
    </w:rPr>
  </w:style>
  <w:style w:type="table" w:customStyle="1" w:styleId="12">
    <w:name w:val="Table Normal"/>
    <w:semiHidden/>
    <w:unhideWhenUsed/>
    <w:qFormat/>
    <w:uiPriority w:val="2"/>
    <w:tblPr>
      <w:tblLayout w:type="fixed"/>
      <w:tblCellMar>
        <w:top w:w="0" w:type="dxa"/>
        <w:left w:w="0" w:type="dxa"/>
        <w:bottom w:w="0" w:type="dxa"/>
        <w:right w:w="0" w:type="dxa"/>
      </w:tblCellMar>
    </w:tblPr>
  </w:style>
  <w:style w:type="paragraph" w:styleId="13">
    <w:name w:val="List Paragraph"/>
    <w:basedOn w:val="1"/>
    <w:qFormat/>
    <w:uiPriority w:val="1"/>
    <w:pPr>
      <w:ind w:left="988" w:hanging="599"/>
    </w:pPr>
  </w:style>
  <w:style w:type="paragraph" w:customStyle="1" w:styleId="14">
    <w:name w:val="Table Paragraph"/>
    <w:basedOn w:val="1"/>
    <w:qFormat/>
    <w:uiPriority w:val="1"/>
  </w:style>
  <w:style w:type="character" w:customStyle="1" w:styleId="15">
    <w:name w:val="批注框文本 Char"/>
    <w:basedOn w:val="11"/>
    <w:link w:val="6"/>
    <w:qFormat/>
    <w:uiPriority w:val="0"/>
    <w:rPr>
      <w:rFonts w:ascii="微软雅黑" w:hAnsi="微软雅黑" w:eastAsia="微软雅黑" w:cs="微软雅黑"/>
      <w:sz w:val="18"/>
      <w:szCs w:val="18"/>
      <w:lang w:val="zh-CN" w:bidi="zh-CN"/>
    </w:rPr>
  </w:style>
  <w:style w:type="paragraph" w:customStyle="1" w:styleId="16">
    <w:name w:val="正文 A"/>
    <w:qFormat/>
    <w:uiPriority w:val="99"/>
    <w:pPr>
      <w:widowControl w:val="0"/>
      <w:pBdr>
        <w:top w:val="none" w:color="FFFFFF" w:sz="0" w:space="31"/>
        <w:left w:val="none" w:color="FFFFFF" w:sz="0" w:space="31"/>
        <w:bottom w:val="none" w:color="FFFFFF" w:sz="0" w:space="31"/>
        <w:right w:val="none" w:color="FFFFFF" w:sz="0" w:space="31"/>
      </w:pBdr>
      <w:jc w:val="both"/>
    </w:pPr>
    <w:rPr>
      <w:rFonts w:ascii="Calibri" w:hAnsi="Calibri" w:eastAsia="宋体" w:cs="Times New Roman"/>
      <w:color w:val="000000"/>
      <w:kern w:val="2"/>
      <w:sz w:val="21"/>
      <w:szCs w:val="21"/>
      <w:u w:color="000000"/>
      <w:lang w:val="en-US" w:eastAsia="zh-CN" w:bidi="ar-SA"/>
    </w:rPr>
  </w:style>
  <w:style w:type="paragraph" w:customStyle="1" w:styleId="17">
    <w:name w:val="p0"/>
    <w:basedOn w:val="1"/>
    <w:qFormat/>
    <w:uiPriority w:val="0"/>
    <w:pPr>
      <w:widowControl/>
    </w:pPr>
    <w:rPr>
      <w:rFonts w:ascii="Times New Roman" w:hAnsi="Times New Roman" w:eastAsia="宋体" w:cs="Times New Roman"/>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MS</Company>
  <Pages>9</Pages>
  <Words>537</Words>
  <Characters>3066</Characters>
  <Lines>25</Lines>
  <Paragraphs>7</Paragraphs>
  <TotalTime>53</TotalTime>
  <ScaleCrop>false</ScaleCrop>
  <LinksUpToDate>false</LinksUpToDate>
  <CharactersWithSpaces>3596</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2020-11-20T03:44:00Z</dcterms:created>
  <dc:creator>Administrator</dc:creator>
  <cp:lastModifiedBy>dell</cp:lastModifiedBy>
  <cp:lastPrinted>2021-11-30T01:33:00Z</cp:lastPrinted>
  <dcterms:modified xsi:type="dcterms:W3CDTF">2021-11-30T06:19:56Z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2020-09-08T00:00:00Z</vt:filetime>
  </property>
  <property fmtid="{D5CDD505-2E9C-101B-9397-08002B2CF9AE}" pid="3" name="Creator">
    <vt:lpwstr>WPS 文字</vt:lpwstr>
  </property>
  <property fmtid="{D5CDD505-2E9C-101B-9397-08002B2CF9AE}" pid="4" name="LastSaved">
    <vt:filetime>2020-09-08T00:00:00Z</vt:filetime>
  </property>
  <property fmtid="{D5CDD505-2E9C-101B-9397-08002B2CF9AE}" pid="5" name="KSOProductBuildVer">
    <vt:lpwstr>2052-11.8.6.8722</vt:lpwstr>
  </property>
</Properties>
</file>