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南连接线呈贡段沿线提升改造工程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topLinePunct/>
        <w:spacing w:before="0" w:beforeAutospacing="0" w:after="0" w:afterAutospacing="0"/>
        <w:ind w:right="0" w:rightChars="0" w:firstLine="594" w:firstLineChars="200"/>
        <w:jc w:val="both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ind w:firstLine="594" w:firstLineChars="20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项目基本情况。南连接线呈贡段沿线提升改造工程项目起于照西村仓库东侧，止于云峰建材城西侧，长约1.4公里，共建设2块景观绿地，分别位于杜家营立交两侧，绿地总面积约120亩，批复总投资3528.94万元，主要建设内容为大面积流线型的紫色花海（紫娇、紫柳、马鞭草、薰衣草）50637平方米、高大乔木（雪松、银杏、枫香、香樟）1145株，园路2400平方米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opLinePunct/>
        <w:spacing w:before="0" w:beforeAutospacing="0" w:after="0" w:afterAutospacing="0"/>
        <w:ind w:right="0" w:rightChars="0" w:firstLine="594" w:firstLineChars="200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绩效目标设定及指标完成情况。绩效目标设定：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完成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南连接线呈贡段沿线提升改造工程；指标完成情况：已完成。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二、项目资金使用及管理情况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南连接线呈贡段沿线提升改造工程，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年预算资金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1000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万元，年末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市级补助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资金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721.19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实际到位预算数1721.19万元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2020年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施工单位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完成工程计量款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1800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万元，按照合同约定支付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工程款1355.469997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支付征地拆迁、造价咨询等费用365.672003万元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合计完成支付1721.142万元。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三、项目组织实施情况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南连接线呈贡段环境提升改造列入昆明市62条重要道路整治任务之一，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2020年3月6日印发了呈贡区人民政府办公室印发了《南连接线呈贡段沿线绿化景观提升专项工作实施方案的通知》，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我局作为工程实施单位，于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2020年5月底完成招投标工作，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施工单位于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2020年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6月18日进场，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主体工程于2020年8月31日基本完工，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完成建筑垃圾清运28568立方米，种植土回填25859立方米，乔木种植 620株，各类草花种植53720平方米，园路铺装2134平方米。我局于2020年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11月19日组织各相关单位完成验收工作，现正开展结算。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施工中定期到工地现场指导工作，对分项工程的重点、工序的重点部位进行旁站检查，驻守施工现场，质量跟踪把关，及时制止施工中出现的质量问题，本着严格管理、一丝不苟的精神，对有质量问题的工程一律进行返工处理，坚决杜绝不合格的工序转序施工；分部、分项工程检验及竣工验收，我局严格按照合同约定，验收合格后</w:t>
      </w:r>
      <w:r>
        <w:rPr>
          <w:rFonts w:ascii="仿宋" w:hAnsi="仿宋" w:eastAsia="仿宋"/>
          <w:color w:val="000000"/>
          <w:szCs w:val="32"/>
        </w:rPr>
        <w:t>支付工程进度款项</w:t>
      </w:r>
      <w:r>
        <w:rPr>
          <w:rFonts w:hint="eastAsia" w:ascii="仿宋" w:hAnsi="仿宋" w:eastAsia="仿宋"/>
          <w:color w:val="000000"/>
          <w:szCs w:val="32"/>
        </w:rPr>
        <w:t>。在工程款支付上，我局严格审批手续，现场施工进度、工程量核实后按照合同约定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方可</w:t>
      </w:r>
      <w:r>
        <w:rPr>
          <w:rFonts w:hint="eastAsia" w:ascii="仿宋" w:hAnsi="仿宋" w:eastAsia="仿宋"/>
          <w:color w:val="000000"/>
          <w:szCs w:val="32"/>
        </w:rPr>
        <w:t>拨付工程款。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四、项目绩效情况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default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经济方面：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南连接线呈贡段环境提升改造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工程，招标控制价为2250万元，施工单位中标价为1892.7393万元，工程结算价约1800万元，目前支付工程款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1355.469997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，工程尾款待结算审计完成后支付。效率性：按照昆明市人民政府相关任务安排，8月31日前完成整治工作，我局积极协调相关部门，加快相关手续办理，于8月31前完成项目主体工程，按时按量完成工作任务。有效性：项目实施后，进一步改善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南连接线呈贡段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沿线环境，为周边居民增加了一处美丽、舒适的休闲娱乐的好地方。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可持续性：该项目实施过程任务重、时间紧，推进过程涉及征地拆迁、渣土运输等环节，实施中一方面抓建设质量，另一方面办好相关手续，这为今后遇到相关工作任务进行人员调配、资金落实、手续办理提供了经验参考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五、存在的问题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eastAsia="黑体" w:cs="仿宋_GB2312"/>
          <w:szCs w:val="32"/>
          <w:lang w:val="en-US"/>
        </w:rPr>
      </w:pPr>
      <w:r>
        <w:rPr>
          <w:rFonts w:hint="eastAsia" w:ascii="仿宋_GB2312" w:hAnsi="Calibri" w:eastAsia="黑体" w:cs="黑体"/>
          <w:kern w:val="2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六、其他需要说明的问题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94" w:firstLineChars="200"/>
        <w:jc w:val="both"/>
      </w:pPr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无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24E4"/>
    <w:multiLevelType w:val="singleLevel"/>
    <w:tmpl w:val="072D24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1241E59"/>
    <w:rsid w:val="14427422"/>
    <w:rsid w:val="30CE30ED"/>
    <w:rsid w:val="378A5996"/>
    <w:rsid w:val="4B1C7E14"/>
    <w:rsid w:val="5A3C6978"/>
    <w:rsid w:val="5B1F2C4C"/>
    <w:rsid w:val="63034ACC"/>
    <w:rsid w:val="67600811"/>
    <w:rsid w:val="6FF069C2"/>
    <w:rsid w:val="796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仰望1403521827</cp:lastModifiedBy>
  <dcterms:modified xsi:type="dcterms:W3CDTF">2021-03-30T03:55:56Z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