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2019年公交专用道建设</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keepNext w:val="0"/>
        <w:keepLines w:val="0"/>
        <w:widowControl w:val="0"/>
        <w:numPr>
          <w:ilvl w:val="0"/>
          <w:numId w:val="1"/>
        </w:numPr>
        <w:suppressLineNumbers w:val="0"/>
        <w:topLinePunct/>
        <w:spacing w:before="0" w:beforeAutospacing="0" w:after="0" w:afterAutospacing="0"/>
        <w:ind w:right="0" w:rightChars="0" w:firstLine="594" w:firstLineChars="200"/>
        <w:jc w:val="both"/>
        <w:rPr>
          <w:rFonts w:hint="eastAsia" w:ascii="黑体" w:eastAsia="黑体"/>
          <w:szCs w:val="32"/>
        </w:rPr>
      </w:pPr>
      <w:r>
        <w:rPr>
          <w:rFonts w:hint="eastAsia" w:ascii="黑体" w:eastAsia="黑体"/>
          <w:szCs w:val="32"/>
        </w:rPr>
        <w:t>项目基本情况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（一）项目基本情况。按照昆明市交通运输局 昆明市住房和城乡建设局《关于印发实施&lt;2018—2020年昆明公交专用道建设计划&gt;的通知》（昆交联发〔2018〕34号）和《昆明市交通运输局关于报送公交专用道建设推进情况的通知》（昆交函〔2020〕99 号）文件要求，涉及我局的建设任务为春融西路（石龙路—14号路）段2.5km、呈祥街—春融街（80号路—祥和街）段4.5km，建设总长度7km，</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（二）绩效目标设定及指标完成情况。绩效目标设定：完成呈贡区2019年公交专用道建设；指标完成情况：已完成。</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二、项目资金使用及管理情况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仿宋_GB2312" w:cs="仿宋_GB2312"/>
          <w:szCs w:val="32"/>
          <w:lang w:val="en-US"/>
        </w:rPr>
      </w:pPr>
      <w:r>
        <w:rPr>
          <w:rFonts w:hint="eastAsia" w:ascii="仿宋_GB2312" w:hAnsi="Calibri" w:cs="仿宋_GB2312"/>
          <w:kern w:val="2"/>
          <w:sz w:val="32"/>
          <w:szCs w:val="32"/>
          <w:lang w:val="en-US" w:eastAsia="zh-CN" w:bidi="ar"/>
        </w:rPr>
        <w:t>呈贡区2019年公交专用道建设</w:t>
      </w:r>
      <w:r>
        <w:rPr>
          <w:rFonts w:hint="eastAsia" w:ascii="仿宋_GB2312" w:hAnsi="仿宋" w:eastAsia="仿宋_GB2312"/>
          <w:sz w:val="32"/>
          <w:szCs w:val="32"/>
        </w:rPr>
        <w:t>项目</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2020</w:t>
      </w:r>
      <w:r>
        <w:rPr>
          <w:rFonts w:hint="eastAsia" w:ascii="仿宋_GB2312" w:hAnsi="Calibri" w:eastAsia="仿宋_GB2312" w:cs="仿宋_GB2312"/>
          <w:kern w:val="2"/>
          <w:sz w:val="32"/>
          <w:szCs w:val="32"/>
          <w:lang w:val="en-US" w:eastAsia="zh-CN" w:bidi="ar"/>
        </w:rPr>
        <w:t>年初预算资金</w:t>
      </w:r>
      <w:r>
        <w:rPr>
          <w:rFonts w:hint="eastAsia" w:ascii="仿宋_GB2312" w:hAnsi="Calibri" w:cs="仿宋_GB2312"/>
          <w:kern w:val="2"/>
          <w:sz w:val="32"/>
          <w:szCs w:val="32"/>
          <w:lang w:val="en-US" w:eastAsia="zh-CN" w:bidi="ar"/>
        </w:rPr>
        <w:t>139</w:t>
      </w:r>
      <w:r>
        <w:rPr>
          <w:rFonts w:hint="eastAsia" w:ascii="仿宋_GB2312" w:hAnsi="Calibri" w:eastAsia="仿宋_GB2312" w:cs="仿宋_GB2312"/>
          <w:kern w:val="2"/>
          <w:sz w:val="32"/>
          <w:szCs w:val="32"/>
          <w:lang w:val="en-US" w:eastAsia="zh-CN" w:bidi="ar"/>
        </w:rPr>
        <w:t>万元，年末调</w:t>
      </w:r>
      <w:r>
        <w:rPr>
          <w:rFonts w:hint="eastAsia" w:ascii="仿宋_GB2312" w:hAnsi="Calibri" w:cs="仿宋_GB2312"/>
          <w:kern w:val="2"/>
          <w:sz w:val="32"/>
          <w:szCs w:val="32"/>
          <w:lang w:val="en-US" w:eastAsia="zh-CN" w:bidi="ar"/>
        </w:rPr>
        <w:t>增</w:t>
      </w:r>
      <w:r>
        <w:rPr>
          <w:rFonts w:hint="eastAsia" w:ascii="仿宋_GB2312" w:hAnsi="Calibri" w:eastAsia="仿宋_GB2312" w:cs="仿宋_GB2312"/>
          <w:kern w:val="2"/>
          <w:sz w:val="32"/>
          <w:szCs w:val="32"/>
          <w:lang w:val="en-US" w:eastAsia="zh-CN" w:bidi="ar"/>
        </w:rPr>
        <w:t>预算资金</w:t>
      </w:r>
      <w:r>
        <w:rPr>
          <w:rFonts w:hint="eastAsia" w:ascii="仿宋_GB2312" w:hAnsi="Calibri" w:cs="仿宋_GB2312"/>
          <w:kern w:val="2"/>
          <w:sz w:val="32"/>
          <w:szCs w:val="32"/>
          <w:lang w:val="en-US" w:eastAsia="zh-CN" w:bidi="ar"/>
        </w:rPr>
        <w:t>167.9369</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实际预算数为306.9396万元</w:t>
      </w:r>
      <w:r>
        <w:rPr>
          <w:rFonts w:hint="eastAsia" w:ascii="仿宋_GB2312" w:hAnsi="Calibri" w:eastAsia="仿宋_GB2312" w:cs="仿宋_GB2312"/>
          <w:kern w:val="2"/>
          <w:sz w:val="32"/>
          <w:szCs w:val="32"/>
          <w:lang w:val="en-US" w:eastAsia="zh-CN" w:bidi="ar"/>
        </w:rPr>
        <w:t>。</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2020年</w:t>
      </w:r>
      <w:r>
        <w:rPr>
          <w:rFonts w:hint="eastAsia" w:ascii="仿宋_GB2312" w:hAnsi="仿宋_GB2312" w:eastAsia="仿宋_GB2312" w:cs="仿宋_GB2312"/>
          <w:kern w:val="2"/>
          <w:sz w:val="32"/>
          <w:szCs w:val="32"/>
          <w:lang w:val="en-US" w:eastAsia="zh-CN" w:bidi="ar"/>
        </w:rPr>
        <w:t>项目</w:t>
      </w:r>
      <w:r>
        <w:rPr>
          <w:rFonts w:hint="eastAsia" w:ascii="仿宋_GB2312" w:hAnsi="仿宋_GB2312" w:cs="仿宋_GB2312"/>
          <w:kern w:val="2"/>
          <w:sz w:val="32"/>
          <w:szCs w:val="32"/>
          <w:lang w:val="en-US" w:eastAsia="zh-CN" w:bidi="ar"/>
        </w:rPr>
        <w:t>施工单位</w:t>
      </w:r>
      <w:r>
        <w:rPr>
          <w:rFonts w:hint="eastAsia" w:ascii="仿宋_GB2312" w:hAnsi="Calibri" w:eastAsia="仿宋_GB2312" w:cs="仿宋_GB2312"/>
          <w:kern w:val="2"/>
          <w:sz w:val="32"/>
          <w:szCs w:val="32"/>
          <w:lang w:val="en-US" w:eastAsia="zh-CN" w:bidi="ar"/>
        </w:rPr>
        <w:t>完成工程计量款</w:t>
      </w:r>
      <w:r>
        <w:rPr>
          <w:rFonts w:hint="eastAsia" w:ascii="仿宋_GB2312" w:hAnsi="Calibri" w:cs="仿宋_GB2312"/>
          <w:kern w:val="2"/>
          <w:sz w:val="32"/>
          <w:szCs w:val="32"/>
          <w:lang w:val="en-US" w:eastAsia="zh-CN" w:bidi="ar"/>
        </w:rPr>
        <w:t>367</w:t>
      </w:r>
      <w:r>
        <w:rPr>
          <w:rFonts w:hint="eastAsia" w:ascii="仿宋_GB2312" w:hAnsi="Calibri" w:eastAsia="仿宋_GB2312" w:cs="仿宋_GB2312"/>
          <w:kern w:val="2"/>
          <w:sz w:val="32"/>
          <w:szCs w:val="32"/>
          <w:lang w:val="en-US" w:eastAsia="zh-CN" w:bidi="ar"/>
        </w:rPr>
        <w:t>万元，按照合同约定支付</w:t>
      </w:r>
      <w:r>
        <w:rPr>
          <w:rFonts w:hint="eastAsia" w:ascii="仿宋_GB2312" w:hAnsi="Calibri" w:cs="仿宋_GB2312"/>
          <w:kern w:val="2"/>
          <w:sz w:val="32"/>
          <w:szCs w:val="32"/>
          <w:lang w:val="en-US" w:eastAsia="zh-CN" w:bidi="ar"/>
        </w:rPr>
        <w:t>工程款256.555277</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支付造价咨询、设计、城市道路挖掘费等费用24.56813万元</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合计完成支付281.123407万元。</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三、项目组织实施情况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2020年4月20日、23日分别在昆明市呈贡区投资审批中介超市通过网上竞价+随机抽取的方式选取中鼎誉润工程咨询有限公司为监理招标代理机构、河南联达工程管理有限公司为施工招标代理机构，于2020年7月3日、13日分别在昆明市公共资源交易中心公开开标选取了昆明建设咨询监理有限公司为监理单位、四川仟坤建设集团有限责任公司为施工单位，项目2020年7月底开工建设，2020年完成呈祥街-春融街（80号路-祥和街）公交专用视频监控及机箱8套，视频监控存储设备1套，光纤收发器9个，光缆5500m，接地极93根，接地母线248m，接地装置调试31组，清除并重新划定地面标线12039.38m2。春融东路（石龙路-祥和街）安装公交专用道标志牌（2.4*1.6m）7.68m2，悬臂杆（Φ219单侧双悬臂杆（L=4m）：2根，清除并重新划定标线1946.8m2，拆除标志牌12块。春融西路（石龙路-14号路）标志牌（含建设单位要求增加0.8*1.2m标志牌6块）55.68m2，悬臂杆（Φ219单侧双悬臂杆（L=4m））13根，防撞筒3个，清除并重新划定标线7898.88m</w:t>
      </w:r>
      <w:r>
        <w:rPr>
          <w:rFonts w:hint="eastAsia" w:ascii="仿宋_GB2312" w:hAnsi="Calibri" w:cs="仿宋_GB2312"/>
          <w:kern w:val="2"/>
          <w:sz w:val="32"/>
          <w:szCs w:val="32"/>
          <w:vertAlign w:val="superscript"/>
          <w:lang w:val="en-US" w:eastAsia="zh-CN" w:bidi="ar"/>
        </w:rPr>
        <w:t>2</w:t>
      </w:r>
      <w:r>
        <w:rPr>
          <w:rFonts w:hint="eastAsia" w:ascii="仿宋_GB2312" w:hAnsi="Calibri" w:cs="仿宋_GB2312"/>
          <w:kern w:val="2"/>
          <w:sz w:val="32"/>
          <w:szCs w:val="32"/>
          <w:lang w:val="en-US" w:eastAsia="zh-CN" w:bidi="ar"/>
        </w:rPr>
        <w:t>。</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施工中定期到工地现场指导工作，对分项工程的重点、工序的重点部位进行旁站检查，驻守施工现场，质量跟踪把关，及时制止施工中出现的质量问题，本着严格管理、一丝不苟的精神，对有质量问题的工程一律进行返工处理，坚决杜绝不合格的工序转序施工；分部、分项工程检验及竣工验收，我局严格按照合同约定，验收合格后支付工程进度款项。在工程款支付上，我局严格审批手续，现场施工进度、工程量核实后按照合同约定</w:t>
      </w:r>
      <w:r>
        <w:rPr>
          <w:rFonts w:hint="eastAsia" w:ascii="仿宋_GB2312" w:hAnsi="仿宋_GB2312" w:eastAsia="仿宋_GB2312" w:cs="仿宋_GB2312"/>
          <w:color w:val="000000"/>
          <w:szCs w:val="32"/>
          <w:lang w:val="en-US" w:eastAsia="zh-CN"/>
        </w:rPr>
        <w:t>方可</w:t>
      </w:r>
      <w:r>
        <w:rPr>
          <w:rFonts w:hint="eastAsia" w:ascii="仿宋_GB2312" w:hAnsi="仿宋_GB2312" w:eastAsia="仿宋_GB2312" w:cs="仿宋_GB2312"/>
          <w:color w:val="000000"/>
          <w:szCs w:val="32"/>
        </w:rPr>
        <w:t>拨付工程款。</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bookmarkStart w:id="0" w:name="_GoBack"/>
      <w:bookmarkEnd w:id="0"/>
      <w:r>
        <w:rPr>
          <w:rFonts w:hint="eastAsia" w:ascii="黑体" w:hAnsi="Calibri" w:eastAsia="黑体" w:cs="黑体"/>
          <w:kern w:val="2"/>
          <w:sz w:val="32"/>
          <w:szCs w:val="32"/>
          <w:lang w:val="en-US" w:eastAsia="zh-CN" w:bidi="ar"/>
        </w:rPr>
        <w:t>四、项目绩效情况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color w:val="000000"/>
          <w:kern w:val="2"/>
          <w:sz w:val="32"/>
          <w:szCs w:val="32"/>
          <w:lang w:val="en-US" w:eastAsia="zh-CN" w:bidi="ar-SA"/>
        </w:rPr>
        <w:t>经济方面：严格按照合同约定展开工程款支付</w:t>
      </w:r>
      <w:r>
        <w:rPr>
          <w:rFonts w:hint="eastAsia" w:ascii="仿宋_GB2312" w:hAnsi="Calibri" w:cs="仿宋_GB2312"/>
          <w:kern w:val="2"/>
          <w:sz w:val="32"/>
          <w:szCs w:val="32"/>
          <w:lang w:val="en-US" w:eastAsia="zh-CN" w:bidi="ar"/>
        </w:rPr>
        <w:t>。效率性：在昆明市公交都市创建验收前完了呈贡区公交专用道设置工作。有效性：项目实施后，进一步改善了</w:t>
      </w:r>
      <w:r>
        <w:rPr>
          <w:rFonts w:hint="eastAsia" w:ascii="仿宋_GB2312" w:hAnsi="仿宋_GB2312" w:cs="仿宋_GB2312"/>
          <w:color w:val="000000"/>
          <w:kern w:val="2"/>
          <w:sz w:val="32"/>
          <w:szCs w:val="32"/>
          <w:lang w:val="en-US" w:eastAsia="zh-CN" w:bidi="ar-SA"/>
        </w:rPr>
        <w:t>呈贡区公共交通道路环境，为辖区居民营造出良好的公交出行环境。可持续性：该项目实施过程过程中涉及与交警、城管等部门协调推进，相关手续办理经验，为今后遇到相关工作手续办理提供了经验参考。</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五、存在的问题</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黑体" w:cs="仿宋_GB2312"/>
          <w:szCs w:val="32"/>
          <w:lang w:val="en-US"/>
        </w:rPr>
      </w:pPr>
      <w:r>
        <w:rPr>
          <w:rFonts w:hint="eastAsia" w:ascii="仿宋_GB2312" w:hAnsi="Calibri" w:eastAsia="黑体" w:cs="黑体"/>
          <w:kern w:val="2"/>
          <w:sz w:val="32"/>
          <w:szCs w:val="32"/>
          <w:lang w:val="en-US" w:eastAsia="zh-CN" w:bidi="ar"/>
        </w:rPr>
        <w:t>无</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六、其他需要说明的问题</w:t>
      </w:r>
    </w:p>
    <w:p>
      <w:pPr>
        <w:keepNext w:val="0"/>
        <w:keepLines w:val="0"/>
        <w:widowControl w:val="0"/>
        <w:suppressLineNumbers w:val="0"/>
        <w:spacing w:before="0" w:beforeAutospacing="0" w:after="0" w:afterAutospacing="0"/>
        <w:ind w:left="0" w:right="0" w:firstLine="594" w:firstLineChars="200"/>
        <w:jc w:val="both"/>
      </w:pPr>
      <w:r>
        <w:rPr>
          <w:rFonts w:hint="eastAsia" w:ascii="Calibri" w:hAnsi="Calibri" w:eastAsia="仿宋_GB2312" w:cs="仿宋_GB2312"/>
          <w:kern w:val="2"/>
          <w:sz w:val="32"/>
          <w:szCs w:val="22"/>
          <w:lang w:val="en-US" w:eastAsia="zh-CN" w:bidi="ar"/>
        </w:rPr>
        <w:t>无</w:t>
      </w:r>
    </w:p>
    <w:p>
      <w:pPr>
        <w:topLinePunct/>
        <w:ind w:firstLine="594" w:firstLineChars="200"/>
        <w:rPr>
          <w:rFonts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24E4"/>
    <w:multiLevelType w:val="singleLevel"/>
    <w:tmpl w:val="072D24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02F08CF"/>
    <w:rsid w:val="11241E59"/>
    <w:rsid w:val="14427422"/>
    <w:rsid w:val="15AC2068"/>
    <w:rsid w:val="2F0F4F01"/>
    <w:rsid w:val="30CE30ED"/>
    <w:rsid w:val="378A5996"/>
    <w:rsid w:val="4B1C7E14"/>
    <w:rsid w:val="5A3C6978"/>
    <w:rsid w:val="67600811"/>
    <w:rsid w:val="6FF069C2"/>
    <w:rsid w:val="796964C8"/>
    <w:rsid w:val="7DD6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088CC"/>
      <w:u w:val="none"/>
    </w:rPr>
  </w:style>
  <w:style w:type="character" w:styleId="6">
    <w:name w:val="Emphasis"/>
    <w:basedOn w:val="3"/>
    <w:qFormat/>
    <w:uiPriority w:val="0"/>
    <w:rPr>
      <w:i/>
    </w:rPr>
  </w:style>
  <w:style w:type="character" w:styleId="7">
    <w:name w:val="HTML Definition"/>
    <w:basedOn w:val="3"/>
    <w:qFormat/>
    <w:uiPriority w:val="0"/>
    <w:rPr>
      <w:i/>
    </w:rPr>
  </w:style>
  <w:style w:type="character" w:styleId="8">
    <w:name w:val="Hyperlink"/>
    <w:basedOn w:val="3"/>
    <w:qFormat/>
    <w:uiPriority w:val="0"/>
    <w:rPr>
      <w:color w:val="0088CC"/>
      <w:u w:val="none"/>
    </w:rPr>
  </w:style>
  <w:style w:type="character" w:styleId="9">
    <w:name w:val="HTML Code"/>
    <w:basedOn w:val="3"/>
    <w:qFormat/>
    <w:uiPriority w:val="0"/>
    <w:rPr>
      <w:rFonts w:ascii="Consolas" w:hAnsi="Consolas" w:eastAsia="Consolas" w:cs="Consolas"/>
      <w:color w:val="DD1144"/>
      <w:sz w:val="15"/>
      <w:szCs w:val="15"/>
      <w:bdr w:val="single" w:color="E1E1E8" w:sz="6" w:space="0"/>
      <w:shd w:val="clear" w:fill="F7F7F9"/>
    </w:rPr>
  </w:style>
  <w:style w:type="character" w:styleId="10">
    <w:name w:val="HTML Cite"/>
    <w:basedOn w:val="3"/>
    <w:qFormat/>
    <w:uiPriority w:val="0"/>
  </w:style>
  <w:style w:type="character" w:styleId="11">
    <w:name w:val="HTML Keyboard"/>
    <w:basedOn w:val="3"/>
    <w:qFormat/>
    <w:uiPriority w:val="0"/>
    <w:rPr>
      <w:rFonts w:hint="default" w:ascii="monospace" w:hAnsi="monospace" w:eastAsia="monospace" w:cs="monospace"/>
      <w:sz w:val="21"/>
      <w:szCs w:val="21"/>
    </w:rPr>
  </w:style>
  <w:style w:type="character" w:styleId="12">
    <w:name w:val="HTML Sample"/>
    <w:basedOn w:val="3"/>
    <w:qFormat/>
    <w:uiPriority w:val="0"/>
    <w:rPr>
      <w:rFonts w:ascii="monospace" w:hAnsi="monospace" w:eastAsia="monospace" w:cs="monospace"/>
      <w:sz w:val="21"/>
      <w:szCs w:val="21"/>
    </w:rPr>
  </w:style>
  <w:style w:type="character" w:customStyle="1" w:styleId="13">
    <w:name w:val="more"/>
    <w:basedOn w:val="3"/>
    <w:qFormat/>
    <w:uiPriority w:val="0"/>
  </w:style>
  <w:style w:type="paragraph" w:customStyle="1" w:styleId="14">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仰望1403521827</cp:lastModifiedBy>
  <dcterms:modified xsi:type="dcterms:W3CDTF">2021-03-30T06:18:40Z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