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公共机构节能办</w:t>
      </w:r>
      <w:r>
        <w:rPr>
          <w:rFonts w:hint="eastAsia" w:ascii="方正小标宋_GBK" w:eastAsia="方正小标宋_GBK"/>
          <w:sz w:val="36"/>
          <w:szCs w:val="36"/>
        </w:rPr>
        <w:t>项目支出绩效报告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numPr>
          <w:ilvl w:val="0"/>
          <w:numId w:val="1"/>
        </w:numPr>
        <w:topLinePunct/>
        <w:ind w:firstLine="594" w:firstLineChars="200"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项目基本情况</w:t>
      </w:r>
    </w:p>
    <w:p>
      <w:pPr>
        <w:topLinePunct/>
        <w:ind w:firstLine="594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</w:t>
      </w:r>
      <w:r>
        <w:rPr>
          <w:rFonts w:hint="eastAsia" w:ascii="仿宋" w:hAnsi="仿宋" w:eastAsia="仿宋" w:cs="仿宋"/>
          <w:szCs w:val="32"/>
          <w:lang w:eastAsia="zh-CN"/>
        </w:rPr>
        <w:t>呈贡区公共机构节能</w:t>
      </w:r>
      <w:r>
        <w:rPr>
          <w:rFonts w:hint="eastAsia" w:ascii="仿宋" w:hAnsi="仿宋" w:eastAsia="仿宋" w:cs="仿宋"/>
          <w:szCs w:val="32"/>
        </w:rPr>
        <w:t>项目</w:t>
      </w:r>
      <w:r>
        <w:rPr>
          <w:rFonts w:hint="eastAsia" w:ascii="仿宋" w:hAnsi="仿宋" w:eastAsia="仿宋" w:cs="仿宋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Cs w:val="32"/>
        </w:rPr>
        <w:t>基本性</w:t>
      </w:r>
      <w:bookmarkStart w:id="0" w:name="_GoBack"/>
      <w:bookmarkEnd w:id="0"/>
      <w:r>
        <w:rPr>
          <w:rFonts w:hint="eastAsia" w:ascii="仿宋" w:hAnsi="仿宋" w:eastAsia="仿宋" w:cs="仿宋"/>
          <w:szCs w:val="32"/>
        </w:rPr>
        <w:t>质</w:t>
      </w:r>
      <w:r>
        <w:rPr>
          <w:rFonts w:hint="eastAsia" w:ascii="仿宋" w:hAnsi="仿宋" w:eastAsia="仿宋" w:cs="仿宋"/>
          <w:szCs w:val="32"/>
          <w:lang w:eastAsia="zh-CN"/>
        </w:rPr>
        <w:t>属</w:t>
      </w:r>
      <w:r>
        <w:rPr>
          <w:rFonts w:hint="eastAsia" w:ascii="仿宋" w:hAnsi="仿宋" w:eastAsia="仿宋" w:cs="仿宋"/>
          <w:szCs w:val="32"/>
        </w:rPr>
        <w:t>延续性项目、</w:t>
      </w:r>
      <w:r>
        <w:rPr>
          <w:rFonts w:hint="eastAsia" w:ascii="仿宋" w:hAnsi="仿宋" w:eastAsia="仿宋" w:cs="仿宋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Cs w:val="32"/>
        </w:rPr>
        <w:t>《呈贡区公共机构节能工作20</w:t>
      </w:r>
      <w:r>
        <w:rPr>
          <w:rFonts w:hint="eastAsia" w:ascii="仿宋" w:hAnsi="仿宋" w:eastAsia="仿宋" w:cs="仿宋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Cs w:val="32"/>
        </w:rPr>
        <w:t>年工作要点》</w:t>
      </w:r>
      <w:r>
        <w:rPr>
          <w:rFonts w:hint="eastAsia" w:ascii="仿宋" w:hAnsi="仿宋" w:eastAsia="仿宋" w:cs="仿宋"/>
          <w:szCs w:val="32"/>
          <w:lang w:eastAsia="zh-CN"/>
        </w:rPr>
        <w:t>的要求，呈贡</w:t>
      </w:r>
      <w:r>
        <w:rPr>
          <w:rFonts w:hint="eastAsia" w:ascii="仿宋" w:hAnsi="仿宋" w:eastAsia="仿宋" w:cs="仿宋"/>
          <w:szCs w:val="32"/>
        </w:rPr>
        <w:t>区公共机构领导小组办公室设在区机关事务管理局，</w:t>
      </w:r>
      <w:r>
        <w:rPr>
          <w:rFonts w:hint="eastAsia" w:ascii="仿宋" w:hAnsi="仿宋" w:eastAsia="仿宋" w:cs="仿宋"/>
          <w:szCs w:val="32"/>
          <w:lang w:eastAsia="zh-CN"/>
        </w:rPr>
        <w:t>主要工作是</w:t>
      </w:r>
      <w:r>
        <w:rPr>
          <w:rFonts w:hint="eastAsia" w:ascii="仿宋" w:hAnsi="仿宋" w:eastAsia="仿宋" w:cs="仿宋"/>
          <w:szCs w:val="32"/>
        </w:rPr>
        <w:t>履行全区公共机构节能工作，按照市节能办和区委、政府主要工作目标及督察、考核指标的要求，完成市对区节能工作的督察、考核任务。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</w:t>
      </w:r>
      <w:r>
        <w:rPr>
          <w:rFonts w:hint="eastAsia" w:ascii="仿宋" w:hAnsi="仿宋" w:eastAsia="仿宋" w:cs="仿宋"/>
          <w:szCs w:val="32"/>
          <w:lang w:eastAsia="zh-CN"/>
        </w:rPr>
        <w:t>呈贡区公共机构节能项目工作</w:t>
      </w:r>
      <w:r>
        <w:rPr>
          <w:rFonts w:hint="eastAsia" w:ascii="仿宋" w:hAnsi="仿宋" w:eastAsia="仿宋" w:cs="仿宋"/>
          <w:szCs w:val="32"/>
        </w:rPr>
        <w:t>目标</w:t>
      </w:r>
      <w:r>
        <w:rPr>
          <w:rFonts w:hint="eastAsia" w:ascii="仿宋" w:hAnsi="仿宋" w:eastAsia="仿宋" w:cs="仿宋"/>
          <w:szCs w:val="32"/>
          <w:lang w:eastAsia="zh-CN"/>
        </w:rPr>
        <w:t>是</w:t>
      </w:r>
      <w:r>
        <w:rPr>
          <w:rFonts w:hint="eastAsia" w:ascii="仿宋" w:hAnsi="仿宋" w:eastAsia="仿宋" w:cs="仿宋"/>
          <w:szCs w:val="32"/>
        </w:rPr>
        <w:t>通过每年公共机构节能工作的开展，到2021年人均综合能耗下降10%，单位建筑面积能耗下降10%，人均用水量下降15%，公共机构生活垃圾分类普及率95%。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区机关事务局按照《云南省节约型机关创建行动实施方案》《昆明市机关事务管理局 昆明市发展和改革委员会 昆明市财政局关于印发&lt;昆明市节约型机关创建行动实施方案&gt;的通知》（昆事字</w:t>
      </w:r>
      <w:r>
        <w:rPr>
          <w:rFonts w:hint="eastAsia" w:ascii="仿宋" w:hAnsi="仿宋" w:eastAsia="仿宋" w:cs="仿宋"/>
          <w:sz w:val="32"/>
          <w:szCs w:val="32"/>
        </w:rPr>
        <w:t>〔2020〕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）文件要求，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推进县级20%以上党政机关建成节约型机关。</w:t>
      </w:r>
    </w:p>
    <w:p>
      <w:pPr>
        <w:topLinePunct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二、</w:t>
      </w:r>
      <w:r>
        <w:rPr>
          <w:rFonts w:hint="eastAsia" w:ascii="仿宋" w:hAnsi="仿宋" w:eastAsia="仿宋" w:cs="仿宋"/>
          <w:b/>
          <w:bCs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594" w:firstLineChars="200"/>
        <w:jc w:val="both"/>
        <w:textAlignment w:val="auto"/>
        <w:outlineLvl w:val="9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</w:rPr>
        <w:t>呈贡区公共机构节能</w:t>
      </w:r>
      <w:r>
        <w:rPr>
          <w:rFonts w:hint="eastAsia" w:ascii="仿宋" w:hAnsi="仿宋" w:eastAsia="仿宋" w:cs="仿宋"/>
          <w:szCs w:val="32"/>
        </w:rPr>
        <w:t>项目资金</w:t>
      </w:r>
      <w:r>
        <w:rPr>
          <w:rFonts w:hint="eastAsia" w:ascii="仿宋" w:hAnsi="仿宋" w:eastAsia="仿宋" w:cs="仿宋"/>
          <w:szCs w:val="32"/>
          <w:lang w:eastAsia="zh-CN"/>
        </w:rPr>
        <w:t>为</w:t>
      </w:r>
      <w:r>
        <w:rPr>
          <w:rFonts w:hint="eastAsia" w:ascii="仿宋" w:hAnsi="仿宋" w:eastAsia="仿宋" w:cs="仿宋"/>
          <w:szCs w:val="32"/>
        </w:rPr>
        <w:t>财政预算资金</w:t>
      </w:r>
      <w:r>
        <w:rPr>
          <w:rFonts w:hint="eastAsia" w:ascii="仿宋" w:hAnsi="仿宋" w:eastAsia="仿宋" w:cs="仿宋"/>
          <w:szCs w:val="32"/>
          <w:lang w:eastAsia="zh-CN"/>
        </w:rPr>
        <w:t>，资金用途为以下几方面：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eastAsia="zh-CN"/>
        </w:rPr>
        <w:t>公共机构</w:t>
      </w:r>
      <w:r>
        <w:rPr>
          <w:rFonts w:hint="eastAsia" w:ascii="仿宋" w:hAnsi="仿宋" w:eastAsia="仿宋" w:cs="仿宋"/>
          <w:szCs w:val="32"/>
        </w:rPr>
        <w:t>节水型单位创建</w:t>
      </w:r>
      <w:r>
        <w:rPr>
          <w:rFonts w:hint="eastAsia" w:ascii="仿宋" w:hAnsi="仿宋" w:eastAsia="仿宋" w:cs="仿宋"/>
          <w:szCs w:val="32"/>
          <w:lang w:eastAsia="zh-CN"/>
        </w:rPr>
        <w:t>工作经费</w:t>
      </w:r>
      <w:r>
        <w:rPr>
          <w:rFonts w:hint="eastAsia" w:ascii="仿宋" w:hAnsi="仿宋" w:eastAsia="仿宋" w:cs="仿宋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Cs w:val="32"/>
        </w:rPr>
        <w:t>万</w:t>
      </w:r>
      <w:r>
        <w:rPr>
          <w:rFonts w:hint="eastAsia" w:ascii="仿宋" w:hAnsi="仿宋" w:eastAsia="仿宋" w:cs="仿宋"/>
          <w:szCs w:val="32"/>
          <w:lang w:eastAsia="zh-CN"/>
        </w:rPr>
        <w:t>，按程序</w:t>
      </w:r>
      <w:r>
        <w:rPr>
          <w:rFonts w:hint="eastAsia" w:ascii="仿宋" w:hAnsi="仿宋" w:eastAsia="仿宋" w:cs="仿宋"/>
          <w:szCs w:val="32"/>
        </w:rPr>
        <w:t>委托第三方开展工作。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公共机构节能改造</w:t>
      </w:r>
      <w:r>
        <w:rPr>
          <w:rFonts w:hint="eastAsia" w:ascii="仿宋" w:hAnsi="仿宋" w:eastAsia="仿宋" w:cs="仿宋"/>
          <w:szCs w:val="32"/>
          <w:lang w:eastAsia="zh-CN"/>
        </w:rPr>
        <w:t>工作经费</w:t>
      </w:r>
      <w:r>
        <w:rPr>
          <w:rFonts w:hint="eastAsia" w:ascii="仿宋" w:hAnsi="仿宋" w:eastAsia="仿宋" w:cs="仿宋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Cs w:val="32"/>
        </w:rPr>
        <w:t>万</w:t>
      </w:r>
      <w:r>
        <w:rPr>
          <w:rFonts w:hint="eastAsia" w:ascii="仿宋" w:hAnsi="仿宋" w:eastAsia="仿宋" w:cs="仿宋"/>
          <w:szCs w:val="32"/>
          <w:lang w:eastAsia="zh-CN"/>
        </w:rPr>
        <w:t>，</w:t>
      </w:r>
      <w:r>
        <w:rPr>
          <w:rFonts w:hint="eastAsia" w:ascii="仿宋" w:hAnsi="仿宋" w:eastAsia="仿宋" w:cs="仿宋"/>
          <w:szCs w:val="32"/>
        </w:rPr>
        <w:t>用于购买新型节能产品。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三、公共机构能源审计工作</w:t>
      </w:r>
      <w:r>
        <w:rPr>
          <w:rFonts w:hint="eastAsia" w:ascii="仿宋" w:hAnsi="仿宋" w:eastAsia="仿宋" w:cs="仿宋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Cs w:val="32"/>
        </w:rPr>
        <w:t>万，</w:t>
      </w:r>
      <w:r>
        <w:rPr>
          <w:rFonts w:hint="eastAsia" w:ascii="仿宋" w:hAnsi="仿宋" w:eastAsia="仿宋" w:cs="仿宋"/>
          <w:szCs w:val="32"/>
          <w:lang w:eastAsia="zh-CN"/>
        </w:rPr>
        <w:t>按程序</w:t>
      </w:r>
      <w:r>
        <w:rPr>
          <w:rFonts w:hint="eastAsia" w:ascii="仿宋" w:hAnsi="仿宋" w:eastAsia="仿宋" w:cs="仿宋"/>
          <w:szCs w:val="32"/>
        </w:rPr>
        <w:t>委托第三方开展工作。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四、公共机构生活垃圾分类</w:t>
      </w:r>
      <w:r>
        <w:rPr>
          <w:rFonts w:hint="eastAsia" w:ascii="仿宋" w:hAnsi="仿宋" w:eastAsia="仿宋" w:cs="仿宋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Cs w:val="32"/>
        </w:rPr>
        <w:t>万用于购置</w:t>
      </w:r>
      <w:r>
        <w:rPr>
          <w:rFonts w:hint="eastAsia" w:ascii="仿宋" w:hAnsi="仿宋" w:eastAsia="仿宋" w:cs="仿宋"/>
          <w:szCs w:val="32"/>
          <w:lang w:eastAsia="zh-CN"/>
        </w:rPr>
        <w:t>安装</w:t>
      </w:r>
      <w:r>
        <w:rPr>
          <w:rFonts w:hint="eastAsia" w:ascii="仿宋" w:hAnsi="仿宋" w:eastAsia="仿宋" w:cs="仿宋"/>
          <w:szCs w:val="32"/>
        </w:rPr>
        <w:t>垃圾</w:t>
      </w:r>
      <w:r>
        <w:rPr>
          <w:rFonts w:hint="eastAsia" w:ascii="仿宋" w:hAnsi="仿宋" w:eastAsia="仿宋" w:cs="仿宋"/>
          <w:szCs w:val="32"/>
          <w:lang w:eastAsia="zh-CN"/>
        </w:rPr>
        <w:t>分类设备等。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szCs w:val="32"/>
          <w:lang w:val="en-US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推进县级20%以上党政机关建成节约型机关，组织呈贡区综合楼内7家单位优先进行节约型机关创建，此项</w:t>
      </w:r>
      <w:r>
        <w:rPr>
          <w:rFonts w:hint="eastAsia" w:ascii="仿宋" w:hAnsi="仿宋" w:eastAsia="仿宋" w:cs="仿宋"/>
          <w:szCs w:val="32"/>
        </w:rPr>
        <w:t>工作</w:t>
      </w:r>
      <w:r>
        <w:rPr>
          <w:rFonts w:hint="eastAsia" w:ascii="仿宋" w:hAnsi="仿宋" w:eastAsia="仿宋" w:cs="仿宋"/>
          <w:szCs w:val="32"/>
          <w:lang w:val="en-US" w:eastAsia="zh-CN"/>
        </w:rPr>
        <w:t>计划5</w:t>
      </w:r>
      <w:r>
        <w:rPr>
          <w:rFonts w:hint="eastAsia" w:ascii="仿宋" w:hAnsi="仿宋" w:eastAsia="仿宋" w:cs="仿宋"/>
          <w:szCs w:val="32"/>
        </w:rPr>
        <w:t>万，</w:t>
      </w:r>
      <w:r>
        <w:rPr>
          <w:rFonts w:hint="eastAsia" w:ascii="仿宋" w:hAnsi="仿宋" w:eastAsia="仿宋" w:cs="仿宋"/>
          <w:szCs w:val="32"/>
          <w:lang w:eastAsia="zh-CN"/>
        </w:rPr>
        <w:t>按程序</w:t>
      </w:r>
      <w:r>
        <w:rPr>
          <w:rFonts w:hint="eastAsia" w:ascii="仿宋" w:hAnsi="仿宋" w:eastAsia="仿宋" w:cs="仿宋"/>
          <w:szCs w:val="32"/>
        </w:rPr>
        <w:t>委托第三方开展工作。</w:t>
      </w:r>
    </w:p>
    <w:p>
      <w:pPr>
        <w:topLinePunct/>
        <w:rPr>
          <w:rFonts w:hint="eastAsia" w:ascii="仿宋" w:hAnsi="仿宋" w:eastAsia="仿宋" w:cs="仿宋"/>
          <w:b/>
          <w:bCs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Cs w:val="32"/>
          <w:lang w:eastAsia="zh-CN"/>
        </w:rPr>
        <w:t>三、项目组织实施情况</w:t>
      </w:r>
    </w:p>
    <w:p>
      <w:pPr>
        <w:spacing w:line="560" w:lineRule="exact"/>
        <w:ind w:firstLine="594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一、节约型单位：我区推荐了区市场监管局创建省级节约型单位，预计2020年12月底前能完成创建工作。</w:t>
      </w:r>
    </w:p>
    <w:p>
      <w:pPr>
        <w:spacing w:line="560" w:lineRule="exact"/>
        <w:ind w:firstLine="59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二、节水型单位：落实最严格水资源管理制度，本年度通过委托第三方完成</w:t>
      </w:r>
      <w:r>
        <w:rPr>
          <w:rFonts w:hint="eastAsia" w:ascii="仿宋" w:hAnsi="仿宋" w:eastAsia="仿宋" w:cs="仿宋"/>
          <w:sz w:val="32"/>
          <w:szCs w:val="32"/>
        </w:rPr>
        <w:t>创建节水型机关单位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选择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建筑体量和能耗总量相对较大的区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市场监管</w:t>
      </w:r>
      <w:r>
        <w:rPr>
          <w:rFonts w:hint="eastAsia" w:ascii="仿宋" w:hAnsi="仿宋" w:eastAsia="仿宋" w:cs="仿宋"/>
          <w:sz w:val="32"/>
          <w:szCs w:val="32"/>
        </w:rPr>
        <w:t>局进行能源审计工作，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日，通过了能源审计报告的专家评审，现此项工作已圆满完成。</w:t>
      </w:r>
    </w:p>
    <w:p>
      <w:pPr>
        <w:spacing w:line="560" w:lineRule="exact"/>
        <w:ind w:firstLine="594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四、呈贡区机关事务管理局按照《昆明市呈贡区党政机关等公共机构生活垃圾分类工作实施方案》要求，已在综合楼配置了生活垃圾分类设施，完成了分类投放、分类收集系统，为下一步推广工作打下基础。</w:t>
      </w:r>
    </w:p>
    <w:p>
      <w:pPr>
        <w:topLinePunct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Cs w:val="32"/>
        </w:rPr>
        <w:t>、项目绩效情况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一、节水型单位创建：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根据省、市安排，配合区市场监管局完成2019—2020年国家级、省级节约型公共机构示范单位开展创建申报的初评验收、实地评估等工作。2020年</w:t>
      </w:r>
      <w:r>
        <w:rPr>
          <w:rFonts w:hint="eastAsia" w:ascii="仿宋" w:hAnsi="仿宋" w:eastAsia="仿宋" w:cs="仿宋"/>
          <w:sz w:val="32"/>
          <w:szCs w:val="32"/>
        </w:rPr>
        <w:t>创建节水型机关单位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个；事业单位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个。采购服务进行水平衡测试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个单位、共使用经费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，经费使用率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区级机关单位、事业单位创建节水型单位的比例将分别达到90%和70%。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二、公共机构节能改造：按照上年度单位能源审计结果，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引导公共机构利用先进科技成果降耗增效，严格执行节能环保产品优先采购和强制采购制度，为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区交通运输局更换了215个节能灯管，64个LED灯，</w:t>
      </w:r>
      <w:r>
        <w:rPr>
          <w:rFonts w:hint="eastAsia" w:ascii="仿宋" w:hAnsi="仿宋" w:eastAsia="仿宋" w:cs="仿宋"/>
          <w:sz w:val="32"/>
          <w:szCs w:val="32"/>
        </w:rPr>
        <w:t>购买新型节能产品使用经费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，经费使用率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顺利完成节能改造及能源审计工作。</w:t>
      </w:r>
    </w:p>
    <w:p>
      <w:pPr>
        <w:ind w:firstLine="59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三、能源审计工作：按照市对区考核要求，购买服务进行1个公共机构能源审计，使用经费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，经费使用率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90%.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四、公共机构生活垃圾分类工作。按照市、区相关文件要求，对新区综合楼和行政审批局进行生活垃圾分类试点工作，试点成功后，全区推广普及。试点和推广垃圾分类工作中制作宣传材料等经费2万元，此项合计使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，经费使用率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50%.</w:t>
      </w:r>
    </w:p>
    <w:p>
      <w:pPr>
        <w:topLinePunct/>
        <w:rPr>
          <w:rFonts w:hint="eastAsia"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Cs w:val="32"/>
        </w:rPr>
        <w:t>、</w:t>
      </w:r>
      <w:r>
        <w:rPr>
          <w:rFonts w:hint="eastAsia" w:ascii="仿宋" w:hAnsi="仿宋" w:eastAsia="仿宋" w:cs="仿宋"/>
          <w:b/>
          <w:bCs/>
          <w:szCs w:val="32"/>
          <w:lang w:eastAsia="zh-CN"/>
        </w:rPr>
        <w:t>需要不断改进的措施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right="0" w:rightChars="0" w:firstLine="594" w:firstLineChars="200"/>
        <w:jc w:val="both"/>
        <w:textAlignment w:val="auto"/>
        <w:outlineLvl w:val="9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</w:t>
      </w:r>
      <w:r>
        <w:rPr>
          <w:rFonts w:hint="eastAsia" w:ascii="仿宋" w:hAnsi="仿宋" w:eastAsia="仿宋" w:cs="仿宋"/>
          <w:szCs w:val="32"/>
          <w:lang w:eastAsia="zh-CN"/>
        </w:rPr>
        <w:t>呈贡区公共机构节能</w:t>
      </w:r>
      <w:r>
        <w:rPr>
          <w:rFonts w:hint="eastAsia" w:ascii="仿宋" w:hAnsi="仿宋" w:eastAsia="仿宋" w:cs="仿宋"/>
          <w:szCs w:val="32"/>
        </w:rPr>
        <w:t>项目资金</w:t>
      </w:r>
      <w:r>
        <w:rPr>
          <w:rFonts w:hint="eastAsia" w:ascii="仿宋" w:hAnsi="仿宋" w:eastAsia="仿宋" w:cs="仿宋"/>
          <w:szCs w:val="32"/>
          <w:lang w:eastAsia="zh-CN"/>
        </w:rPr>
        <w:t>在使用管理方面严格遵守《中华人民共和国预算法》及《政府采购法》的相关规定及程序，严格按照“三重一大”及内部控制决策程序制定了专项资金使用管理规定。</w:t>
      </w:r>
    </w:p>
    <w:p>
      <w:pPr>
        <w:topLinePunct/>
        <w:ind w:firstLine="594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</w:t>
      </w:r>
      <w:r>
        <w:rPr>
          <w:rFonts w:hint="eastAsia" w:ascii="仿宋" w:hAnsi="仿宋" w:eastAsia="仿宋" w:cs="仿宋"/>
          <w:szCs w:val="32"/>
          <w:lang w:eastAsia="zh-CN"/>
        </w:rPr>
        <w:t>继续完善“三重一大”及内部控制的决策程序的科学性，在统筹</w:t>
      </w:r>
      <w:r>
        <w:rPr>
          <w:rFonts w:hint="eastAsia" w:ascii="仿宋" w:hAnsi="仿宋" w:eastAsia="仿宋" w:cs="仿宋"/>
          <w:szCs w:val="32"/>
        </w:rPr>
        <w:t>资金分配，突出重点</w:t>
      </w:r>
      <w:r>
        <w:rPr>
          <w:rFonts w:hint="eastAsia" w:ascii="仿宋" w:hAnsi="仿宋" w:eastAsia="仿宋" w:cs="仿宋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Cs w:val="32"/>
        </w:rPr>
        <w:t>，</w:t>
      </w:r>
      <w:r>
        <w:rPr>
          <w:rFonts w:hint="eastAsia" w:ascii="仿宋" w:hAnsi="仿宋" w:eastAsia="仿宋" w:cs="仿宋"/>
          <w:szCs w:val="32"/>
          <w:lang w:eastAsia="zh-CN"/>
        </w:rPr>
        <w:t>资金使用管理公开透明，做到</w:t>
      </w:r>
      <w:r>
        <w:rPr>
          <w:rFonts w:hint="eastAsia" w:ascii="仿宋" w:hAnsi="仿宋" w:eastAsia="仿宋" w:cs="仿宋"/>
          <w:szCs w:val="32"/>
        </w:rPr>
        <w:t>资金分配和使相符</w:t>
      </w:r>
      <w:r>
        <w:rPr>
          <w:rFonts w:hint="eastAsia" w:ascii="仿宋" w:hAnsi="仿宋" w:eastAsia="仿宋" w:cs="仿宋"/>
          <w:szCs w:val="32"/>
          <w:lang w:eastAsia="zh-CN"/>
        </w:rPr>
        <w:t>配套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topLinePunct/>
        <w:ind w:firstLine="594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</w:t>
      </w:r>
      <w:r>
        <w:rPr>
          <w:rFonts w:hint="eastAsia" w:ascii="仿宋" w:hAnsi="仿宋" w:eastAsia="仿宋" w:cs="仿宋"/>
          <w:szCs w:val="32"/>
          <w:lang w:eastAsia="zh-CN"/>
        </w:rPr>
        <w:t>严格执行预算绩效考核制度，做到</w:t>
      </w:r>
      <w:r>
        <w:rPr>
          <w:rFonts w:hint="eastAsia" w:ascii="仿宋" w:hAnsi="仿宋" w:eastAsia="仿宋" w:cs="仿宋"/>
          <w:szCs w:val="32"/>
        </w:rPr>
        <w:t>资金拨付及时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合规，</w:t>
      </w:r>
      <w:r>
        <w:rPr>
          <w:rFonts w:hint="eastAsia" w:ascii="仿宋" w:hAnsi="仿宋" w:eastAsia="仿宋" w:cs="仿宋"/>
          <w:szCs w:val="32"/>
          <w:lang w:eastAsia="zh-CN"/>
        </w:rPr>
        <w:t>杜绝了财政资金</w:t>
      </w:r>
      <w:r>
        <w:rPr>
          <w:rFonts w:hint="eastAsia" w:ascii="仿宋" w:hAnsi="仿宋" w:eastAsia="仿宋" w:cs="仿宋"/>
          <w:szCs w:val="32"/>
        </w:rPr>
        <w:t>滞留、闲置</w:t>
      </w:r>
      <w:r>
        <w:rPr>
          <w:rFonts w:hint="eastAsia" w:ascii="仿宋" w:hAnsi="仿宋" w:eastAsia="仿宋" w:cs="仿宋"/>
          <w:szCs w:val="32"/>
          <w:lang w:eastAsia="zh-CN"/>
        </w:rPr>
        <w:t>、挪用，不断提高资金使用效率。</w:t>
      </w:r>
    </w:p>
    <w:p>
      <w:pPr>
        <w:topLinePunct/>
        <w:rPr>
          <w:rFonts w:hint="eastAsia" w:ascii="仿宋" w:hAnsi="仿宋" w:eastAsia="仿宋" w:cs="仿宋"/>
          <w:b/>
          <w:bCs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Cs w:val="32"/>
        </w:rPr>
        <w:t>、</w:t>
      </w:r>
      <w:r>
        <w:rPr>
          <w:rFonts w:hint="eastAsia" w:ascii="仿宋" w:hAnsi="仿宋" w:eastAsia="仿宋" w:cs="仿宋"/>
          <w:b/>
          <w:bCs/>
          <w:szCs w:val="32"/>
          <w:lang w:eastAsia="zh-CN"/>
        </w:rPr>
        <w:t>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Style w:val="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（一）积极开展节约型机关创建和示范引领工作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Style w:val="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（二）推进生活垃圾分类工作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Style w:val="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（三）积极推广应用绿色技术和能源审计工作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Style w:val="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（四）持续强化能耗数据管理及监督考核力度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rightChars="0" w:firstLine="594" w:firstLineChars="200"/>
        <w:jc w:val="both"/>
        <w:textAlignment w:val="auto"/>
        <w:outlineLvl w:val="9"/>
        <w:rPr>
          <w:rStyle w:val="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（五）积极开展宣传培训</w:t>
      </w:r>
    </w:p>
    <w:p>
      <w:pPr>
        <w:topLinePunct/>
        <w:ind w:firstLine="594" w:firstLineChars="200"/>
        <w:rPr>
          <w:rFonts w:hint="eastAsia" w:ascii="仿宋" w:hAnsi="仿宋" w:eastAsia="仿宋" w:cs="仿宋"/>
          <w:szCs w:val="32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DD9E5F"/>
    <w:multiLevelType w:val="singleLevel"/>
    <w:tmpl w:val="F2DD9E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E0027D"/>
    <w:multiLevelType w:val="singleLevel"/>
    <w:tmpl w:val="78E00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7942"/>
    <w:rsid w:val="05AE36CA"/>
    <w:rsid w:val="0FE4429F"/>
    <w:rsid w:val="131A0329"/>
    <w:rsid w:val="1F4F6290"/>
    <w:rsid w:val="23503698"/>
    <w:rsid w:val="282654CD"/>
    <w:rsid w:val="29DE1ECB"/>
    <w:rsid w:val="378A5996"/>
    <w:rsid w:val="3DC97002"/>
    <w:rsid w:val="4C0375C8"/>
    <w:rsid w:val="4E272704"/>
    <w:rsid w:val="4F3C4402"/>
    <w:rsid w:val="5A3C6978"/>
    <w:rsid w:val="5C3914F8"/>
    <w:rsid w:val="67600811"/>
    <w:rsid w:val="6C877221"/>
    <w:rsid w:val="6C98684C"/>
    <w:rsid w:val="73A85AFE"/>
    <w:rsid w:val="791B2074"/>
    <w:rsid w:val="7FD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yang</cp:lastModifiedBy>
  <dcterms:modified xsi:type="dcterms:W3CDTF">2021-03-15T07:24:35Z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07A499C8BB8849FFB560FD1ADD5B78A3</vt:lpwstr>
  </property>
</Properties>
</file>