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rPr>
      </w:pPr>
      <w:r>
        <w:rPr>
          <w:rFonts w:hint="eastAsia" w:ascii="黑体" w:eastAsia="黑体"/>
          <w:szCs w:val="32"/>
        </w:rPr>
        <w:t>附件</w:t>
      </w:r>
      <w:r>
        <w:rPr>
          <w:rFonts w:hint="eastAsia" w:ascii="黑体" w:eastAsia="黑体"/>
          <w:szCs w:val="32"/>
          <w:lang w:val="en-US" w:eastAsia="zh-CN"/>
        </w:rPr>
        <w:t>3-1</w:t>
      </w:r>
      <w:r>
        <w:rPr>
          <w:rFonts w:hint="eastAsia" w:ascii="黑体" w:eastAsia="黑体"/>
          <w:szCs w:val="32"/>
        </w:rPr>
        <w:t>：</w:t>
      </w:r>
    </w:p>
    <w:tbl>
      <w:tblPr>
        <w:tblStyle w:val="5"/>
        <w:tblW w:w="9174" w:type="dxa"/>
        <w:jc w:val="center"/>
        <w:tblInd w:w="0" w:type="dxa"/>
        <w:tblLayout w:type="fixed"/>
        <w:tblCellMar>
          <w:top w:w="0" w:type="dxa"/>
          <w:left w:w="28" w:type="dxa"/>
          <w:bottom w:w="0" w:type="dxa"/>
          <w:right w:w="28" w:type="dxa"/>
        </w:tblCellMar>
      </w:tblPr>
      <w:tblGrid>
        <w:gridCol w:w="482"/>
        <w:gridCol w:w="635"/>
        <w:gridCol w:w="1085"/>
        <w:gridCol w:w="765"/>
        <w:gridCol w:w="2790"/>
        <w:gridCol w:w="3417"/>
      </w:tblGrid>
      <w:tr>
        <w:tblPrEx>
          <w:tblLayout w:type="fixed"/>
          <w:tblCellMar>
            <w:top w:w="0" w:type="dxa"/>
            <w:left w:w="28" w:type="dxa"/>
            <w:bottom w:w="0" w:type="dxa"/>
            <w:right w:w="28" w:type="dxa"/>
          </w:tblCellMar>
        </w:tblPrEx>
        <w:trPr>
          <w:tblHeader/>
          <w:jc w:val="center"/>
        </w:trPr>
        <w:tc>
          <w:tcPr>
            <w:tcW w:w="9174" w:type="dxa"/>
            <w:gridSpan w:val="6"/>
            <w:tcBorders>
              <w:bottom w:val="single" w:color="auto" w:sz="4" w:space="0"/>
            </w:tcBorders>
            <w:tcMar>
              <w:top w:w="10" w:type="dxa"/>
              <w:left w:w="10" w:type="dxa"/>
              <w:bottom w:w="0" w:type="dxa"/>
              <w:right w:w="10" w:type="dxa"/>
            </w:tcMar>
            <w:vAlign w:val="center"/>
          </w:tcPr>
          <w:p>
            <w:pPr>
              <w:spacing w:after="156" w:afterLines="50"/>
              <w:jc w:val="center"/>
              <w:rPr>
                <w:rFonts w:ascii="黑体" w:eastAsia="黑体"/>
                <w:b/>
                <w:bCs/>
                <w:sz w:val="18"/>
                <w:szCs w:val="18"/>
              </w:rPr>
            </w:pPr>
            <w:r>
              <w:rPr>
                <w:rFonts w:hint="eastAsia" w:ascii="黑体" w:eastAsia="黑体"/>
                <w:bCs/>
                <w:sz w:val="36"/>
                <w:szCs w:val="36"/>
                <w:lang w:val="en-US" w:eastAsia="zh-CN"/>
              </w:rPr>
              <w:t xml:space="preserve"> </w:t>
            </w:r>
            <w:r>
              <w:rPr>
                <w:rFonts w:hint="eastAsia" w:ascii="黑体" w:eastAsia="黑体"/>
                <w:bCs/>
                <w:sz w:val="36"/>
                <w:szCs w:val="36"/>
              </w:rPr>
              <w:t>部门整体支出绩效自评指标评分表</w:t>
            </w:r>
          </w:p>
        </w:tc>
      </w:tr>
      <w:tr>
        <w:tblPrEx>
          <w:tblLayout w:type="fixed"/>
          <w:tblCellMar>
            <w:top w:w="0" w:type="dxa"/>
            <w:left w:w="28" w:type="dxa"/>
            <w:bottom w:w="0" w:type="dxa"/>
            <w:right w:w="28" w:type="dxa"/>
          </w:tblCellMar>
        </w:tblPrEx>
        <w:trPr>
          <w:trHeight w:val="950" w:hRule="atLeast"/>
          <w:tblHeader/>
          <w:jc w:val="center"/>
        </w:trPr>
        <w:tc>
          <w:tcPr>
            <w:tcW w:w="48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指标</w:t>
            </w:r>
          </w:p>
        </w:tc>
        <w:tc>
          <w:tcPr>
            <w:tcW w:w="63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自评分</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指标解释</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指标说明</w:t>
            </w:r>
          </w:p>
        </w:tc>
      </w:tr>
      <w:tr>
        <w:tblPrEx>
          <w:tblLayout w:type="fixed"/>
          <w:tblCellMar>
            <w:top w:w="0" w:type="dxa"/>
            <w:left w:w="28" w:type="dxa"/>
            <w:bottom w:w="0" w:type="dxa"/>
            <w:right w:w="28" w:type="dxa"/>
          </w:tblCellMar>
        </w:tblPrEx>
        <w:trPr>
          <w:trHeight w:val="1491"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   入（20分）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设定（5分）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绩效目标合理性（2分）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①符合国家法律法规、国民经济和社会发展总体规划计1分；②符合部门“三定”方案确定的职责计0.5分；③是否符合部门制定的中长期实施规划计0.5分。</w:t>
            </w:r>
          </w:p>
        </w:tc>
      </w:tr>
      <w:tr>
        <w:tblPrEx>
          <w:tblLayout w:type="fixed"/>
          <w:tblCellMar>
            <w:top w:w="0" w:type="dxa"/>
            <w:left w:w="28" w:type="dxa"/>
            <w:bottom w:w="0" w:type="dxa"/>
            <w:right w:w="28" w:type="dxa"/>
          </w:tblCellMar>
        </w:tblPrEx>
        <w:trPr>
          <w:trHeight w:val="16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绩效指标明确性（3分）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部门依据整体绩效目标所设定的绩效指标是否清晰、细化、可衡量，用以反映和考核部门整体绩效目标的明细化情况。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Layout w:type="fixed"/>
          <w:tblCellMar>
            <w:top w:w="0" w:type="dxa"/>
            <w:left w:w="28" w:type="dxa"/>
            <w:bottom w:w="0" w:type="dxa"/>
            <w:right w:w="28" w:type="dxa"/>
          </w:tblCellMar>
        </w:tblPrEx>
        <w:trPr>
          <w:trHeight w:val="154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配置（15分）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部门本年度实际在职人员数与编制数的比率，用以反映和考核部门对人员成本的控制程度。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Layout w:type="fixed"/>
          <w:tblCellMar>
            <w:top w:w="0" w:type="dxa"/>
            <w:left w:w="28" w:type="dxa"/>
            <w:bottom w:w="0" w:type="dxa"/>
            <w:right w:w="28" w:type="dxa"/>
          </w:tblCellMar>
        </w:tblPrEx>
        <w:trPr>
          <w:trHeight w:val="1856"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Layout w:type="fixed"/>
          <w:tblCellMar>
            <w:top w:w="0" w:type="dxa"/>
            <w:left w:w="28" w:type="dxa"/>
            <w:bottom w:w="0" w:type="dxa"/>
            <w:right w:w="28" w:type="dxa"/>
          </w:tblCellMar>
        </w:tblPrEx>
        <w:trPr>
          <w:trHeight w:val="221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Layout w:type="fixed"/>
          <w:tblCellMar>
            <w:top w:w="0" w:type="dxa"/>
            <w:left w:w="28" w:type="dxa"/>
            <w:bottom w:w="0" w:type="dxa"/>
            <w:right w:w="28" w:type="dxa"/>
          </w:tblCellMar>
        </w:tblPrEx>
        <w:trPr>
          <w:trHeight w:val="529" w:hRule="atLeast"/>
          <w:jc w:val="center"/>
        </w:trPr>
        <w:tc>
          <w:tcPr>
            <w:tcW w:w="48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预算执行（20分）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部门本年度预算完成数与预算数的比率，用以反映和考核部门预算完成程度。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Layout w:type="fixed"/>
          <w:tblCellMar>
            <w:top w:w="0" w:type="dxa"/>
            <w:left w:w="28" w:type="dxa"/>
            <w:bottom w:w="0" w:type="dxa"/>
            <w:right w:w="28" w:type="dxa"/>
          </w:tblCellMar>
        </w:tblPrEx>
        <w:trPr>
          <w:trHeight w:val="1391"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部门本年度预算调整数与预算数的比率，用以反映和考核部门预算的调整程度。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Layout w:type="fixed"/>
          <w:tblCellMar>
            <w:top w:w="0" w:type="dxa"/>
            <w:left w:w="28" w:type="dxa"/>
            <w:bottom w:w="0" w:type="dxa"/>
            <w:right w:w="28" w:type="dxa"/>
          </w:tblCellMar>
        </w:tblPrEx>
        <w:trPr>
          <w:trHeight w:val="2018"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部门实际支付进度与既定支付进度的比率，用以反映和考核部门预算执行的及时性和均衡性程度。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Layout w:type="fixed"/>
          <w:tblCellMar>
            <w:top w:w="0" w:type="dxa"/>
            <w:left w:w="28" w:type="dxa"/>
            <w:bottom w:w="0" w:type="dxa"/>
            <w:right w:w="28" w:type="dxa"/>
          </w:tblCellMar>
        </w:tblPrEx>
        <w:trPr>
          <w:trHeight w:val="315" w:hRule="atLeast"/>
          <w:jc w:val="center"/>
        </w:trPr>
        <w:tc>
          <w:tcPr>
            <w:tcW w:w="482"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3</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部门本年度结转结余总额与上年结转结余总额增减比例，用以反映和考核部门对存量资金的实际控制程度。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Layout w:type="fixed"/>
          <w:tblCellMar>
            <w:top w:w="0" w:type="dxa"/>
            <w:left w:w="28" w:type="dxa"/>
            <w:bottom w:w="0" w:type="dxa"/>
            <w:right w:w="28" w:type="dxa"/>
          </w:tblCellMar>
        </w:tblPrEx>
        <w:trPr>
          <w:trHeight w:val="1229"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部门本年度实际支出的公用经费总额与预算安排的公用经费总额的比率，用以反映和考核部门对机构运转成本的实际控制程度。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公用经费控制率=（实际支出公用经费总额/预算安排公用经费总额）×100%。为100%的计2分，每超过1个百分点扣0.1分，扣完为止。</w:t>
            </w:r>
          </w:p>
        </w:tc>
      </w:tr>
      <w:tr>
        <w:tblPrEx>
          <w:tblLayout w:type="fixed"/>
          <w:tblCellMar>
            <w:top w:w="0" w:type="dxa"/>
            <w:left w:w="28" w:type="dxa"/>
            <w:bottom w:w="0" w:type="dxa"/>
            <w:right w:w="28" w:type="dxa"/>
          </w:tblCellMar>
        </w:tblPrEx>
        <w:trPr>
          <w:trHeight w:val="1090"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部门本年度“三公经费”实际支出数与预算安排数的比率，用以反映和考核部门对“三公经费”的实际控制程度。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“三公经费”控制率=（“三公经费”实际支出数/“三公经费”预算安排数）×100%。为100%的计2分，每超过1个百分点扣0.5分，扣完为止。</w:t>
            </w:r>
          </w:p>
        </w:tc>
      </w:tr>
      <w:tr>
        <w:tblPrEx>
          <w:tblLayout w:type="fixed"/>
          <w:tblCellMar>
            <w:top w:w="0" w:type="dxa"/>
            <w:left w:w="28" w:type="dxa"/>
            <w:bottom w:w="0" w:type="dxa"/>
            <w:right w:w="28" w:type="dxa"/>
          </w:tblCellMar>
        </w:tblPrEx>
        <w:trPr>
          <w:trHeight w:val="287"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部门本年度实际政府采购金额与年初政府采购预算的比率，用以反映和考核部门政府采购预算执行情况。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政府采购执行率=（实际政府采购金额/政府采购预算数）×100%，为100%的计2分，每低于1个百分点扣0.5分，扣完为止；政府采购预算：采购机关根据事业发展计划和行政任务编制的、并经过规定程序批准的年度政府采购计划。 </w:t>
            </w:r>
          </w:p>
        </w:tc>
      </w:tr>
      <w:tr>
        <w:tblPrEx>
          <w:tblLayout w:type="fixed"/>
          <w:tblCellMar>
            <w:top w:w="0" w:type="dxa"/>
            <w:left w:w="28" w:type="dxa"/>
            <w:bottom w:w="0" w:type="dxa"/>
            <w:right w:w="28" w:type="dxa"/>
          </w:tblCellMar>
        </w:tblPrEx>
        <w:trPr>
          <w:trHeight w:val="1391" w:hRule="atLeast"/>
          <w:jc w:val="center"/>
        </w:trPr>
        <w:tc>
          <w:tcPr>
            <w:tcW w:w="482"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预算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已制定或具有预算资金管理办法、内部财务管理制度、会计核算制度等管理制度计1分；相关管理制度合法、合规、完整计0.5分；相关管理制度得到有效执行计0.5分。</w:t>
            </w:r>
          </w:p>
        </w:tc>
      </w:tr>
      <w:tr>
        <w:tblPrEx>
          <w:tblLayout w:type="fixed"/>
          <w:tblCellMar>
            <w:top w:w="0" w:type="dxa"/>
            <w:left w:w="28" w:type="dxa"/>
            <w:bottom w:w="0" w:type="dxa"/>
            <w:right w:w="28" w:type="dxa"/>
          </w:tblCellMar>
        </w:tblPrEx>
        <w:trPr>
          <w:trHeight w:val="200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资金使用合规性（1分）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部门使用预算资金是否符合相关的预算财务管理制度的规定，用以反映和考核部门预算资金的规范运行情况。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Layout w:type="fixed"/>
          <w:tblCellMar>
            <w:top w:w="0" w:type="dxa"/>
            <w:left w:w="28" w:type="dxa"/>
            <w:bottom w:w="0" w:type="dxa"/>
            <w:right w:w="28" w:type="dxa"/>
          </w:tblCellMar>
        </w:tblPrEx>
        <w:trPr>
          <w:trHeight w:val="139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预决算信息公开性（1分）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部门是否按照政府信息公开有关规定公开相关预决算信息，用以反映和考核部门预决算管理的公开透明情况。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①按规定内容公开预决算信息计0.5分；②按规定时限公开预决算信息计0.5分。预决算信息是指与部门预算、执行、决算、监督、绩效等管理相关的信息。</w:t>
            </w:r>
          </w:p>
        </w:tc>
      </w:tr>
      <w:tr>
        <w:tblPrEx>
          <w:tblLayout w:type="fixed"/>
          <w:tblCellMar>
            <w:top w:w="0" w:type="dxa"/>
            <w:left w:w="28" w:type="dxa"/>
            <w:bottom w:w="0" w:type="dxa"/>
            <w:right w:w="28" w:type="dxa"/>
          </w:tblCellMar>
        </w:tblPrEx>
        <w:trPr>
          <w:trHeight w:val="1395"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基础信息完善性（1分）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部门基础信息是否完善，用以反映和考核基础信息对预算管理工作的支撑情况。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①基础数据信息和会计信息资料真实计0.4分；②基础数据信息和会计信息资料完整计0.3分；③基础数据信息和会计信息资料准确计0.3分。</w:t>
            </w:r>
          </w:p>
        </w:tc>
      </w:tr>
      <w:tr>
        <w:tblPrEx>
          <w:tblLayout w:type="fixed"/>
          <w:tblCellMar>
            <w:top w:w="0" w:type="dxa"/>
            <w:left w:w="28" w:type="dxa"/>
            <w:bottom w:w="0" w:type="dxa"/>
            <w:right w:w="28" w:type="dxa"/>
          </w:tblCellMar>
        </w:tblPrEx>
        <w:trPr>
          <w:trHeight w:val="90" w:hRule="atLeast"/>
          <w:jc w:val="center"/>
        </w:trPr>
        <w:tc>
          <w:tcPr>
            <w:tcW w:w="482"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①制定或具有资产管理制度计1分；②相关资金管理制度合法、合规、完整计0.5分；③相关资产管理制度得到有效执行计0.5分。</w:t>
            </w:r>
          </w:p>
        </w:tc>
      </w:tr>
      <w:tr>
        <w:tblPrEx>
          <w:tblLayout w:type="fixed"/>
          <w:tblCellMar>
            <w:top w:w="0" w:type="dxa"/>
            <w:left w:w="28" w:type="dxa"/>
            <w:bottom w:w="0" w:type="dxa"/>
            <w:right w:w="28" w:type="dxa"/>
          </w:tblCellMar>
        </w:tblPrEx>
        <w:trPr>
          <w:trHeight w:val="1532" w:hRule="atLeast"/>
          <w:jc w:val="center"/>
        </w:trPr>
        <w:tc>
          <w:tcPr>
            <w:tcW w:w="482"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资产管理安全性（2分）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部门的资产是否保存完整、使用合规、配置合理、处置规范、收入及时足额上缴，用以反映和考核部门资产安全运行情况。</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①资产保存完整计0.4分；②资产配置合理计0.4分；③资产处置规范计0.4分；④资产账务管理合规、帐实相符计0.4分；⑤资产有偿使用及处置收入及时足额上缴计0.4分。</w:t>
            </w:r>
          </w:p>
        </w:tc>
      </w:tr>
      <w:tr>
        <w:tblPrEx>
          <w:tblLayout w:type="fixed"/>
          <w:tblCellMar>
            <w:top w:w="0" w:type="dxa"/>
            <w:left w:w="28" w:type="dxa"/>
            <w:bottom w:w="0" w:type="dxa"/>
            <w:right w:w="28" w:type="dxa"/>
          </w:tblCellMar>
        </w:tblPrEx>
        <w:trPr>
          <w:trHeight w:val="1110" w:hRule="atLeast"/>
          <w:jc w:val="center"/>
        </w:trPr>
        <w:tc>
          <w:tcPr>
            <w:tcW w:w="48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部门实际在用固定资产总额与所有固定资产总额的比率，用以反映和考核部门固定资产使用效率程度。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固定资产利用率=（实际在用固定资产总额/所有固定资产总额）×100%。利用率为100%的计1分，每降1个百分点扣0.1分，扣完为止。</w:t>
            </w:r>
          </w:p>
        </w:tc>
      </w:tr>
      <w:tr>
        <w:tblPrEx>
          <w:tblLayout w:type="fixed"/>
          <w:tblCellMar>
            <w:top w:w="0" w:type="dxa"/>
            <w:left w:w="28" w:type="dxa"/>
            <w:bottom w:w="0" w:type="dxa"/>
            <w:right w:w="28" w:type="dxa"/>
          </w:tblCellMar>
        </w:tblPrEx>
        <w:trPr>
          <w:trHeight w:val="83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   出（30分）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履行</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部门履行职责而实际完成工作数与计划工作数的比率，用以反映和考核部门履职工作任务目标的实现程度。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实际完成率得分=完成市委市政府绩效考核得分或上级主管部门考核指标得分/指标分值*8分</w:t>
            </w:r>
          </w:p>
        </w:tc>
      </w:tr>
      <w:tr>
        <w:tblPrEx>
          <w:tblLayout w:type="fixed"/>
          <w:tblCellMar>
            <w:top w:w="0" w:type="dxa"/>
            <w:left w:w="28" w:type="dxa"/>
            <w:bottom w:w="0" w:type="dxa"/>
            <w:right w:w="28" w:type="dxa"/>
          </w:tblCellMar>
        </w:tblPrEx>
        <w:trPr>
          <w:trHeight w:val="109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部门在规定时限内及时完成的实际工作数与计划工作数的比率,用以反映和考核部门履职时效目标的实现程度。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完成及时率=（及时完成实际工作数/计划工作数）×100%。1-4季度各得1分</w:t>
            </w:r>
            <w:r>
              <w:rPr>
                <w:rFonts w:hint="eastAsia" w:ascii="仿宋_GB2312" w:hAnsi="仿宋_GB2312" w:eastAsia="仿宋_GB2312" w:cs="仿宋_GB2312"/>
                <w:sz w:val="21"/>
                <w:szCs w:val="21"/>
              </w:rPr>
              <w:br w:type="textWrapping"/>
            </w:r>
          </w:p>
        </w:tc>
      </w:tr>
      <w:tr>
        <w:tblPrEx>
          <w:tblLayout w:type="fixed"/>
          <w:tblCellMar>
            <w:top w:w="0" w:type="dxa"/>
            <w:left w:w="28" w:type="dxa"/>
            <w:bottom w:w="0" w:type="dxa"/>
            <w:right w:w="28" w:type="dxa"/>
          </w:tblCellMar>
        </w:tblPrEx>
        <w:trPr>
          <w:trHeight w:val="36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达到质量标准（绩效标准值）的实际工作数与计划工作数的比率,用以反映和考核部门履职质量目标的实现程度。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质量达标率=（质量达标实际工作数/计划工作数）×100%。实际得分=达标率*8分</w:t>
            </w:r>
          </w:p>
        </w:tc>
      </w:tr>
      <w:tr>
        <w:tblPrEx>
          <w:tblLayout w:type="fixed"/>
          <w:tblCellMar>
            <w:top w:w="0" w:type="dxa"/>
            <w:left w:w="28" w:type="dxa"/>
            <w:bottom w:w="0" w:type="dxa"/>
            <w:right w:w="28" w:type="dxa"/>
          </w:tblCellMar>
        </w:tblPrEx>
        <w:trPr>
          <w:trHeight w:val="110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重点工作办结率（10分）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10</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部门年度重点工作实际完成数与交办或下达数的比率，用以反映部门对重点工作的办理落实程度。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重点工作办结率=（重点工作实际完成数/交办或下达数）×100%。实际得分=办结率*10分</w:t>
            </w:r>
          </w:p>
        </w:tc>
      </w:tr>
      <w:tr>
        <w:tblPrEx>
          <w:tblLayout w:type="fixed"/>
          <w:tblCellMar>
            <w:top w:w="0" w:type="dxa"/>
            <w:left w:w="28" w:type="dxa"/>
            <w:bottom w:w="0" w:type="dxa"/>
            <w:right w:w="28" w:type="dxa"/>
          </w:tblCellMar>
        </w:tblPrEx>
        <w:trPr>
          <w:trHeight w:val="55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   果（20分）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效益（20分）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部门履行职责对经济发展所带来的直接或间接影响。</w:t>
            </w:r>
          </w:p>
        </w:tc>
        <w:tc>
          <w:tcPr>
            <w:tcW w:w="3417"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按经济效益实现程度计算得分（5分）；按社会效益实现程度计算得分（5分）；按生态效益实现程度计算得分（5分）</w:t>
            </w:r>
          </w:p>
        </w:tc>
      </w:tr>
      <w:tr>
        <w:tblPrEx>
          <w:tblLayout w:type="fixed"/>
          <w:tblCellMar>
            <w:top w:w="0" w:type="dxa"/>
            <w:left w:w="28" w:type="dxa"/>
            <w:bottom w:w="0" w:type="dxa"/>
            <w:right w:w="28" w:type="dxa"/>
          </w:tblCellMar>
        </w:tblPrEx>
        <w:trPr>
          <w:trHeight w:val="54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社会效益（5分）</w:t>
            </w:r>
          </w:p>
        </w:tc>
        <w:tc>
          <w:tcPr>
            <w:tcW w:w="765" w:type="dxa"/>
            <w:tcBorders>
              <w:top w:val="single" w:color="auto" w:sz="4" w:space="0"/>
              <w:left w:val="nil"/>
              <w:bottom w:val="single" w:color="auto" w:sz="4" w:space="0"/>
              <w:right w:val="single" w:color="auto" w:sz="4" w:space="0"/>
            </w:tcBorders>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部门履行职责对社会发展所带来的直接或间接影响。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Layout w:type="fixed"/>
          <w:tblCellMar>
            <w:top w:w="0" w:type="dxa"/>
            <w:left w:w="28" w:type="dxa"/>
            <w:bottom w:w="0" w:type="dxa"/>
            <w:right w:w="28" w:type="dxa"/>
          </w:tblCellMar>
        </w:tblPrEx>
        <w:trPr>
          <w:trHeight w:val="55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生态效益（5分）</w:t>
            </w:r>
          </w:p>
        </w:tc>
        <w:tc>
          <w:tcPr>
            <w:tcW w:w="765" w:type="dxa"/>
            <w:tcBorders>
              <w:top w:val="single" w:color="auto" w:sz="4" w:space="0"/>
              <w:left w:val="nil"/>
              <w:bottom w:val="single" w:color="auto" w:sz="4" w:space="0"/>
              <w:right w:val="single" w:color="auto" w:sz="4" w:space="0"/>
            </w:tcBorders>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部门履行职责对生态环境所带来的直接或间接影响。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Layout w:type="fixed"/>
          <w:tblCellMar>
            <w:top w:w="0" w:type="dxa"/>
            <w:left w:w="28" w:type="dxa"/>
            <w:bottom w:w="0" w:type="dxa"/>
            <w:right w:w="28" w:type="dxa"/>
          </w:tblCellMar>
        </w:tblPrEx>
        <w:trPr>
          <w:trHeight w:val="9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社会公众或服务对象满意度（5分）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社会公众或部门的服务对象对部门履职效果的满意程度。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按收集到的服务对象的满意率计算得分（5分）</w:t>
            </w:r>
          </w:p>
        </w:tc>
      </w:tr>
      <w:tr>
        <w:tblPrEx>
          <w:tblLayout w:type="fixed"/>
          <w:tblCellMar>
            <w:top w:w="0" w:type="dxa"/>
            <w:left w:w="28" w:type="dxa"/>
            <w:bottom w:w="0" w:type="dxa"/>
            <w:right w:w="28" w:type="dxa"/>
          </w:tblCellMar>
        </w:tblPrEx>
        <w:trPr>
          <w:trHeight w:val="1247" w:hRule="atLeast"/>
          <w:jc w:val="center"/>
        </w:trPr>
        <w:tc>
          <w:tcPr>
            <w:tcW w:w="22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合计</w:t>
            </w:r>
          </w:p>
        </w:tc>
        <w:tc>
          <w:tcPr>
            <w:tcW w:w="76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98</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bookmarkStart w:id="0" w:name="_GoBack"/>
            <w:bookmarkEnd w:id="0"/>
          </w:p>
        </w:tc>
        <w:tc>
          <w:tcPr>
            <w:tcW w:w="341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kern w:val="0"/>
                <w:sz w:val="21"/>
                <w:szCs w:val="21"/>
              </w:rPr>
            </w:pPr>
          </w:p>
        </w:tc>
      </w:tr>
    </w:tbl>
    <w:p>
      <w:pPr>
        <w:rPr>
          <w:rFonts w:hint="eastAsia" w:ascii="仿宋_GB2312" w:hAnsi="仿宋_GB2312" w:eastAsia="仿宋_GB2312" w:cs="仿宋_GB2312"/>
          <w:sz w:val="24"/>
          <w:szCs w:val="24"/>
        </w:rPr>
      </w:pPr>
    </w:p>
    <w:sectPr>
      <w:footerReference r:id="rId3" w:type="default"/>
      <w:pgSz w:w="11906" w:h="16838"/>
      <w:pgMar w:top="1723" w:right="1800" w:bottom="1723"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23F88"/>
    <w:rsid w:val="100F03D1"/>
    <w:rsid w:val="132E4195"/>
    <w:rsid w:val="45FD6295"/>
    <w:rsid w:val="46E61718"/>
    <w:rsid w:val="4A1F22B8"/>
    <w:rsid w:val="6D32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dcterms:modified xsi:type="dcterms:W3CDTF">2021-04-06T02:25:57Z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