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spacing w:line="560" w:lineRule="exact"/>
        <w:textAlignment w:val="auto"/>
        <w:rPr>
          <w:rFonts w:ascii="黑体" w:eastAsia="黑体"/>
          <w:kern w:val="0"/>
          <w:szCs w:val="32"/>
        </w:rPr>
      </w:pPr>
      <w:r>
        <w:rPr>
          <w:rFonts w:hint="eastAsia" w:ascii="黑体" w:eastAsia="黑体"/>
          <w:kern w:val="0"/>
          <w:szCs w:val="32"/>
        </w:rPr>
        <w:t>附件4-2</w:t>
      </w:r>
      <w:r>
        <w:rPr>
          <w:rFonts w:ascii="黑体" w:eastAsia="黑体"/>
          <w:kern w:val="0"/>
          <w:szCs w:val="32"/>
        </w:rPr>
        <w:t>:</w:t>
      </w:r>
    </w:p>
    <w:p>
      <w:pPr>
        <w:keepNext w:val="0"/>
        <w:keepLines w:val="0"/>
        <w:pageBreakBefore w:val="0"/>
        <w:widowControl w:val="0"/>
        <w:kinsoku/>
        <w:wordWrap/>
        <w:overflowPunct/>
        <w:autoSpaceDE/>
        <w:autoSpaceDN/>
        <w:bidi w:val="0"/>
        <w:adjustRightInd/>
        <w:spacing w:line="560" w:lineRule="exact"/>
        <w:textAlignment w:val="auto"/>
        <w:rPr>
          <w:rFonts w:ascii="黑体" w:eastAsia="黑体"/>
          <w:kern w:val="0"/>
          <w:szCs w:val="32"/>
        </w:rPr>
      </w:pPr>
    </w:p>
    <w:p>
      <w:pPr>
        <w:keepNext w:val="0"/>
        <w:keepLines w:val="0"/>
        <w:pageBreakBefore w:val="0"/>
        <w:widowControl w:val="0"/>
        <w:kinsoku/>
        <w:wordWrap/>
        <w:overflowPunct/>
        <w:autoSpaceDE/>
        <w:autoSpaceDN/>
        <w:bidi w:val="0"/>
        <w:adjustRightInd/>
        <w:spacing w:line="560" w:lineRule="exact"/>
        <w:jc w:val="center"/>
        <w:textAlignment w:val="auto"/>
        <w:rPr>
          <w:rFonts w:ascii="方正小标宋_GBK" w:eastAsia="方正小标宋_GBK"/>
          <w:kern w:val="0"/>
          <w:sz w:val="36"/>
          <w:szCs w:val="36"/>
        </w:rPr>
      </w:pPr>
      <w:r>
        <w:rPr>
          <w:rFonts w:hint="eastAsia" w:ascii="方正小标宋_GBK" w:eastAsia="方正小标宋_GBK"/>
          <w:kern w:val="0"/>
          <w:sz w:val="36"/>
          <w:szCs w:val="36"/>
        </w:rPr>
        <w:t>昆明市呈贡区残疾人联合会项目支出绩效报告（自评）</w:t>
      </w:r>
    </w:p>
    <w:p>
      <w:pPr>
        <w:keepNext w:val="0"/>
        <w:keepLines w:val="0"/>
        <w:pageBreakBefore w:val="0"/>
        <w:widowControl w:val="0"/>
        <w:kinsoku/>
        <w:wordWrap/>
        <w:overflowPunct/>
        <w:autoSpaceDE/>
        <w:autoSpaceDN/>
        <w:bidi w:val="0"/>
        <w:adjustRightInd/>
        <w:spacing w:line="560" w:lineRule="exact"/>
        <w:ind w:firstLine="594" w:firstLineChars="200"/>
        <w:textAlignment w:val="auto"/>
        <w:rPr>
          <w:rFonts w:ascii="仿宋_GB2312"/>
          <w:b/>
          <w:kern w:val="0"/>
          <w:szCs w:val="32"/>
        </w:rPr>
      </w:pP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黑体" w:eastAsia="黑体"/>
          <w:kern w:val="0"/>
          <w:szCs w:val="32"/>
        </w:rPr>
      </w:pPr>
      <w:r>
        <w:rPr>
          <w:rFonts w:hint="eastAsia" w:ascii="黑体" w:eastAsia="黑体"/>
          <w:kern w:val="0"/>
          <w:szCs w:val="32"/>
        </w:rPr>
        <w:t>一、项目基本情况</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仿宋_GB2312"/>
          <w:kern w:val="0"/>
          <w:szCs w:val="32"/>
        </w:rPr>
      </w:pPr>
      <w:r>
        <w:rPr>
          <w:rFonts w:hint="eastAsia" w:ascii="楷体_GB2312" w:hAnsi="楷体_GB2312" w:eastAsia="楷体_GB2312" w:cs="楷体_GB2312"/>
          <w:kern w:val="0"/>
          <w:szCs w:val="32"/>
        </w:rPr>
        <w:t>（一）项目基本情况简介。</w:t>
      </w:r>
    </w:p>
    <w:p>
      <w:pPr>
        <w:keepNext w:val="0"/>
        <w:keepLines w:val="0"/>
        <w:pageBreakBefore w:val="0"/>
        <w:widowControl w:val="0"/>
        <w:kinsoku/>
        <w:wordWrap/>
        <w:overflowPunct/>
        <w:topLinePunct w:val="0"/>
        <w:autoSpaceDE/>
        <w:autoSpaceDN/>
        <w:bidi w:val="0"/>
        <w:adjustRightInd/>
        <w:snapToGrid w:val="0"/>
        <w:spacing w:line="560" w:lineRule="exact"/>
        <w:ind w:firstLine="660"/>
        <w:jc w:val="both"/>
        <w:textAlignment w:val="auto"/>
        <w:rPr>
          <w:rFonts w:hint="eastAsia"/>
          <w:kern w:val="0"/>
          <w:highlight w:val="none"/>
          <w:lang w:val="en-US" w:eastAsia="zh-CN"/>
        </w:rPr>
      </w:pPr>
      <w:r>
        <w:rPr>
          <w:rFonts w:hint="eastAsia" w:ascii="仿宋_GB2312" w:hAnsi="仿宋_GB2312" w:eastAsia="仿宋_GB2312" w:cs="仿宋_GB2312"/>
          <w:kern w:val="0"/>
          <w:sz w:val="32"/>
          <w:szCs w:val="32"/>
          <w:highlight w:val="none"/>
          <w:lang w:val="en-US" w:eastAsia="zh-CN"/>
        </w:rPr>
        <w:t>1.完成全区享受困难残疾人生活补贴和重度残疾人护理补贴共1275人，补贴资金116.17万元。</w:t>
      </w:r>
    </w:p>
    <w:p>
      <w:pPr>
        <w:keepNext w:val="0"/>
        <w:keepLines w:val="0"/>
        <w:pageBreakBefore w:val="0"/>
        <w:widowControl w:val="0"/>
        <w:kinsoku/>
        <w:wordWrap/>
        <w:overflowPunct/>
        <w:topLinePunct w:val="0"/>
        <w:autoSpaceDE/>
        <w:autoSpaceDN/>
        <w:bidi w:val="0"/>
        <w:adjustRightInd/>
        <w:snapToGrid w:val="0"/>
        <w:spacing w:line="560" w:lineRule="exact"/>
        <w:ind w:firstLine="66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2.完成残疾人特殊困难临时救助182人，发放救助资金40.06万元。</w:t>
      </w:r>
    </w:p>
    <w:p>
      <w:pPr>
        <w:keepNext w:val="0"/>
        <w:keepLines w:val="0"/>
        <w:pageBreakBefore w:val="0"/>
        <w:widowControl w:val="0"/>
        <w:kinsoku/>
        <w:wordWrap/>
        <w:overflowPunct/>
        <w:topLinePunct w:val="0"/>
        <w:autoSpaceDE/>
        <w:autoSpaceDN/>
        <w:bidi w:val="0"/>
        <w:adjustRightInd/>
        <w:snapToGrid w:val="0"/>
        <w:spacing w:line="560" w:lineRule="exact"/>
        <w:ind w:firstLine="66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3.春节、中秋节期间走访慰问困难残疾人594人次，发放慰问金28.90万元。</w:t>
      </w:r>
    </w:p>
    <w:p>
      <w:pPr>
        <w:keepNext w:val="0"/>
        <w:keepLines w:val="0"/>
        <w:pageBreakBefore w:val="0"/>
        <w:widowControl w:val="0"/>
        <w:kinsoku/>
        <w:wordWrap/>
        <w:overflowPunct/>
        <w:topLinePunct w:val="0"/>
        <w:autoSpaceDE/>
        <w:autoSpaceDN/>
        <w:bidi w:val="0"/>
        <w:adjustRightInd/>
        <w:snapToGrid w:val="0"/>
        <w:spacing w:line="560" w:lineRule="exact"/>
        <w:ind w:firstLine="66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4.向全区193名困难精神残疾人发放服药补贴23.16万元，给予35名重度精神残疾人康复医疗救助21.65万元，维护全区精神残疾人群体稳定。</w:t>
      </w:r>
    </w:p>
    <w:p>
      <w:pPr>
        <w:keepNext w:val="0"/>
        <w:keepLines w:val="0"/>
        <w:pageBreakBefore w:val="0"/>
        <w:widowControl w:val="0"/>
        <w:kinsoku/>
        <w:wordWrap/>
        <w:overflowPunct/>
        <w:topLinePunct w:val="0"/>
        <w:autoSpaceDE/>
        <w:autoSpaceDN/>
        <w:bidi w:val="0"/>
        <w:adjustRightInd/>
        <w:snapToGrid w:val="0"/>
        <w:spacing w:line="560" w:lineRule="exact"/>
        <w:ind w:firstLine="594"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5.为227名处于九年义务教育阶段的残疾学生及残疾人子女提供“春雨行动”助学补助，补助资金6.81万元，确保残疾学生及残疾人子女入学率。完成残疾学生及残疾人子女高中助学补助37人，补助资金3.85万元；大中专补助21人，补助资金5.40万元。</w:t>
      </w:r>
    </w:p>
    <w:p>
      <w:pPr>
        <w:keepNext w:val="0"/>
        <w:keepLines w:val="0"/>
        <w:pageBreakBefore w:val="0"/>
        <w:widowControl w:val="0"/>
        <w:kinsoku/>
        <w:wordWrap/>
        <w:overflowPunct/>
        <w:topLinePunct w:val="0"/>
        <w:autoSpaceDE/>
        <w:autoSpaceDN/>
        <w:bidi w:val="0"/>
        <w:adjustRightInd/>
        <w:snapToGrid w:val="0"/>
        <w:spacing w:line="560" w:lineRule="exact"/>
        <w:ind w:firstLine="66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6.</w:t>
      </w:r>
      <w:bookmarkStart w:id="0" w:name="OLE_LINK1"/>
      <w:r>
        <w:rPr>
          <w:rFonts w:hint="eastAsia" w:ascii="仿宋_GB2312" w:hAnsi="仿宋_GB2312" w:eastAsia="仿宋_GB2312" w:cs="仿宋_GB2312"/>
          <w:kern w:val="0"/>
          <w:sz w:val="32"/>
          <w:szCs w:val="32"/>
          <w:highlight w:val="none"/>
          <w:lang w:val="en-US" w:eastAsia="zh-CN"/>
        </w:rPr>
        <w:t>全年完成3389名残疾人证第三代智能卡换发工作。</w:t>
      </w:r>
    </w:p>
    <w:bookmarkEnd w:id="0"/>
    <w:p>
      <w:pPr>
        <w:keepNext w:val="0"/>
        <w:keepLines w:val="0"/>
        <w:pageBreakBefore w:val="0"/>
        <w:widowControl w:val="0"/>
        <w:kinsoku/>
        <w:wordWrap/>
        <w:overflowPunct/>
        <w:topLinePunct w:val="0"/>
        <w:autoSpaceDE/>
        <w:autoSpaceDN/>
        <w:bidi w:val="0"/>
        <w:adjustRightInd/>
        <w:snapToGrid w:val="0"/>
        <w:spacing w:line="560" w:lineRule="exact"/>
        <w:ind w:firstLine="66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lang w:val="en-US" w:eastAsia="zh-CN"/>
        </w:rPr>
        <w:t>.为全区2288名残疾人购买意外伤害保险，保险金额18.30万元。</w:t>
      </w:r>
    </w:p>
    <w:p>
      <w:pPr>
        <w:keepNext w:val="0"/>
        <w:keepLines w:val="0"/>
        <w:pageBreakBefore w:val="0"/>
        <w:widowControl w:val="0"/>
        <w:kinsoku/>
        <w:wordWrap/>
        <w:overflowPunct/>
        <w:topLinePunct w:val="0"/>
        <w:autoSpaceDE/>
        <w:autoSpaceDN/>
        <w:bidi w:val="0"/>
        <w:adjustRightInd/>
        <w:snapToGrid w:val="0"/>
        <w:spacing w:line="560" w:lineRule="exact"/>
        <w:ind w:firstLine="660"/>
        <w:jc w:val="both"/>
        <w:textAlignment w:val="auto"/>
        <w:rPr>
          <w:rFonts w:hint="eastAsia" w:ascii="仿宋_GB2312" w:hAnsi="仿宋_GB2312" w:eastAsia="仿宋_GB2312" w:cs="仿宋_GB2312"/>
          <w:kern w:val="0"/>
          <w:sz w:val="32"/>
          <w:szCs w:val="32"/>
          <w:highlight w:val="none"/>
          <w:lang w:val="en-US" w:eastAsia="zh-CN"/>
        </w:rPr>
      </w:pPr>
      <w:bookmarkStart w:id="1" w:name="OLE_LINK11"/>
      <w:r>
        <w:rPr>
          <w:rFonts w:hint="eastAsia" w:ascii="仿宋_GB2312" w:hAnsi="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lang w:val="en-US" w:eastAsia="zh-CN"/>
        </w:rPr>
        <w:t>.</w:t>
      </w:r>
      <w:bookmarkStart w:id="2" w:name="OLE_LINK4"/>
      <w:r>
        <w:rPr>
          <w:rFonts w:hint="eastAsia" w:ascii="仿宋_GB2312" w:hAnsi="仿宋_GB2312" w:eastAsia="仿宋_GB2312" w:cs="仿宋_GB2312"/>
          <w:kern w:val="0"/>
          <w:sz w:val="32"/>
          <w:szCs w:val="32"/>
          <w:highlight w:val="none"/>
          <w:lang w:val="en-US" w:eastAsia="zh-CN"/>
        </w:rPr>
        <w:t>为</w:t>
      </w:r>
      <w:r>
        <w:rPr>
          <w:rFonts w:hint="eastAsia" w:ascii="仿宋_GB2312" w:hAnsi="仿宋_GB2312" w:cs="仿宋_GB2312"/>
          <w:kern w:val="0"/>
          <w:sz w:val="32"/>
          <w:szCs w:val="32"/>
          <w:highlight w:val="none"/>
          <w:lang w:val="en-US" w:eastAsia="zh-CN"/>
        </w:rPr>
        <w:t>有康复辅具需求的</w:t>
      </w:r>
      <w:r>
        <w:rPr>
          <w:rFonts w:hint="eastAsia" w:ascii="仿宋_GB2312" w:hAnsi="仿宋_GB2312" w:eastAsia="仿宋_GB2312" w:cs="仿宋_GB2312"/>
          <w:kern w:val="0"/>
          <w:sz w:val="32"/>
          <w:szCs w:val="32"/>
          <w:highlight w:val="none"/>
          <w:lang w:val="en-US" w:eastAsia="zh-CN"/>
        </w:rPr>
        <w:t>残疾人发放康复床、轮椅、助行器等残疾人辅助器具210件。</w:t>
      </w:r>
    </w:p>
    <w:bookmarkEnd w:id="1"/>
    <w:bookmarkEnd w:id="2"/>
    <w:p>
      <w:pPr>
        <w:keepNext w:val="0"/>
        <w:keepLines w:val="0"/>
        <w:pageBreakBefore w:val="0"/>
        <w:widowControl w:val="0"/>
        <w:kinsoku/>
        <w:wordWrap/>
        <w:overflowPunct/>
        <w:topLinePunct w:val="0"/>
        <w:autoSpaceDE/>
        <w:autoSpaceDN/>
        <w:bidi w:val="0"/>
        <w:adjustRightInd/>
        <w:snapToGrid w:val="0"/>
        <w:spacing w:line="560" w:lineRule="exact"/>
        <w:ind w:firstLine="66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lang w:val="en-US" w:eastAsia="zh-CN"/>
        </w:rPr>
        <w:t>.对</w:t>
      </w:r>
      <w:r>
        <w:rPr>
          <w:rFonts w:hint="eastAsia" w:ascii="仿宋_GB2312" w:hAnsi="仿宋_GB2312" w:cs="仿宋_GB2312"/>
          <w:kern w:val="0"/>
          <w:sz w:val="32"/>
          <w:szCs w:val="32"/>
          <w:highlight w:val="none"/>
          <w:lang w:val="en-US" w:eastAsia="zh-CN"/>
        </w:rPr>
        <w:t>150</w:t>
      </w:r>
      <w:r>
        <w:rPr>
          <w:rFonts w:hint="eastAsia" w:ascii="仿宋_GB2312" w:hAnsi="仿宋_GB2312" w:eastAsia="仿宋_GB2312" w:cs="仿宋_GB2312"/>
          <w:kern w:val="0"/>
          <w:sz w:val="32"/>
          <w:szCs w:val="32"/>
          <w:highlight w:val="none"/>
          <w:lang w:val="en-US" w:eastAsia="zh-CN"/>
        </w:rPr>
        <w:t>名符合条件的重度肢体及智力、精神残疾人开展托养服务工作，补助资金</w:t>
      </w:r>
      <w:r>
        <w:rPr>
          <w:rFonts w:hint="eastAsia" w:ascii="仿宋_GB2312" w:hAnsi="仿宋_GB2312" w:cs="仿宋_GB2312"/>
          <w:kern w:val="0"/>
          <w:sz w:val="32"/>
          <w:szCs w:val="32"/>
          <w:highlight w:val="none"/>
          <w:lang w:val="en-US" w:eastAsia="zh-CN"/>
        </w:rPr>
        <w:t>67.50</w:t>
      </w:r>
      <w:r>
        <w:rPr>
          <w:rFonts w:hint="eastAsia" w:ascii="仿宋_GB2312" w:hAnsi="仿宋_GB2312" w:eastAsia="仿宋_GB2312" w:cs="仿宋_GB2312"/>
          <w:kern w:val="0"/>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val="0"/>
        <w:spacing w:line="560" w:lineRule="exact"/>
        <w:ind w:firstLine="66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lang w:val="en-US" w:eastAsia="zh-CN"/>
        </w:rPr>
        <w:t>. 认真落实《昆明市呈贡区人民政府关于建立残疾儿童康复救助制度的实施意见》，完成康复救助33名符合条件残疾儿童，救助资金20.05万元。</w:t>
      </w:r>
    </w:p>
    <w:p>
      <w:pPr>
        <w:keepNext w:val="0"/>
        <w:keepLines w:val="0"/>
        <w:pageBreakBefore w:val="0"/>
        <w:widowControl w:val="0"/>
        <w:kinsoku/>
        <w:wordWrap/>
        <w:overflowPunct/>
        <w:topLinePunct w:val="0"/>
        <w:autoSpaceDE/>
        <w:autoSpaceDN/>
        <w:bidi w:val="0"/>
        <w:adjustRightInd/>
        <w:snapToGrid w:val="0"/>
        <w:spacing w:line="560" w:lineRule="exact"/>
        <w:ind w:firstLine="66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lang w:val="en-US" w:eastAsia="zh-CN"/>
        </w:rPr>
        <w:t>.全年开展残疾人生产实用技术培训9期，培训残疾人446人次，投入培训经费13.13万元。</w:t>
      </w:r>
    </w:p>
    <w:p>
      <w:pPr>
        <w:keepNext w:val="0"/>
        <w:keepLines w:val="0"/>
        <w:pageBreakBefore w:val="0"/>
        <w:widowControl w:val="0"/>
        <w:kinsoku/>
        <w:wordWrap/>
        <w:overflowPunct/>
        <w:topLinePunct w:val="0"/>
        <w:autoSpaceDE/>
        <w:autoSpaceDN/>
        <w:bidi w:val="0"/>
        <w:adjustRightInd/>
        <w:snapToGrid w:val="0"/>
        <w:spacing w:line="560" w:lineRule="exact"/>
        <w:ind w:firstLine="660"/>
        <w:jc w:val="both"/>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lang w:val="en-US" w:eastAsia="zh-CN"/>
        </w:rPr>
        <w:t>. 认真开展用人单位按比例安排残疾人就业情况年审工作，共审核66家用人单位，其中：审核通过按比例安置残疾人就业用人单位45家，安置残疾人就业87人。</w:t>
      </w:r>
    </w:p>
    <w:p>
      <w:pPr>
        <w:keepNext w:val="0"/>
        <w:keepLines w:val="0"/>
        <w:pageBreakBefore w:val="0"/>
        <w:widowControl w:val="0"/>
        <w:kinsoku/>
        <w:wordWrap/>
        <w:overflowPunct/>
        <w:topLinePunct w:val="0"/>
        <w:autoSpaceDE/>
        <w:autoSpaceDN/>
        <w:bidi w:val="0"/>
        <w:adjustRightInd/>
        <w:snapToGrid w:val="0"/>
        <w:spacing w:line="560" w:lineRule="exact"/>
        <w:ind w:firstLine="66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cs="仿宋_GB2312"/>
          <w:kern w:val="0"/>
          <w:sz w:val="32"/>
          <w:szCs w:val="32"/>
          <w:highlight w:val="none"/>
          <w:lang w:val="en-US" w:eastAsia="zh-CN"/>
        </w:rPr>
        <w:t>13</w:t>
      </w:r>
      <w:r>
        <w:rPr>
          <w:rFonts w:hint="eastAsia" w:ascii="仿宋_GB2312" w:hAnsi="仿宋_GB2312" w:eastAsia="仿宋_GB2312" w:cs="仿宋_GB2312"/>
          <w:kern w:val="0"/>
          <w:sz w:val="32"/>
          <w:szCs w:val="32"/>
          <w:highlight w:val="none"/>
          <w:lang w:val="en-US" w:eastAsia="zh-CN"/>
        </w:rPr>
        <w:t>. 完成3372名残疾人基本服务状况和需求信息调查工作，调查完成率100%。</w:t>
      </w:r>
    </w:p>
    <w:p>
      <w:pPr>
        <w:keepNext w:val="0"/>
        <w:keepLines w:val="0"/>
        <w:pageBreakBefore w:val="0"/>
        <w:widowControl w:val="0"/>
        <w:kinsoku/>
        <w:wordWrap/>
        <w:overflowPunct/>
        <w:topLinePunct w:val="0"/>
        <w:autoSpaceDE/>
        <w:autoSpaceDN/>
        <w:bidi w:val="0"/>
        <w:adjustRightInd/>
        <w:snapToGrid w:val="0"/>
        <w:spacing w:line="560" w:lineRule="exact"/>
        <w:ind w:firstLine="660"/>
        <w:jc w:val="both"/>
        <w:textAlignment w:val="auto"/>
        <w:rPr>
          <w:rFonts w:ascii="仿宋_GB2312" w:hAnsi="仿宋_GB2312" w:eastAsia="仿宋_GB2312" w:cs="仿宋_GB2312"/>
          <w:kern w:val="0"/>
          <w:szCs w:val="32"/>
        </w:rPr>
      </w:pPr>
      <w:r>
        <w:rPr>
          <w:rFonts w:hint="eastAsia" w:ascii="仿宋_GB2312" w:hAnsi="仿宋_GB2312" w:cs="仿宋_GB2312"/>
          <w:kern w:val="0"/>
          <w:sz w:val="32"/>
          <w:szCs w:val="32"/>
          <w:highlight w:val="none"/>
          <w:lang w:val="en-US" w:eastAsia="zh-CN"/>
        </w:rPr>
        <w:t>14</w:t>
      </w:r>
      <w:r>
        <w:rPr>
          <w:rFonts w:hint="eastAsia" w:ascii="仿宋_GB2312" w:hAnsi="仿宋_GB2312" w:eastAsia="仿宋_GB2312" w:cs="仿宋_GB2312"/>
          <w:kern w:val="0"/>
          <w:sz w:val="32"/>
          <w:szCs w:val="32"/>
          <w:highlight w:val="none"/>
          <w:lang w:val="en-US" w:eastAsia="zh-CN"/>
        </w:rPr>
        <w:t>.充分发挥残疾人艺术团文化阵地作用，开展残疾人文艺培训及文艺演出活动，全年组织开展小合唱、花灯舞蹈和花灯戏培训排练68天，开展进社区演出、文艺汇报演出、全市国际残疾人日文艺演出等11场次。组织400人次残疾人及100人次志愿者开展残疾人文化进家庭“五个一”活动、残疾人健身徒步活动等残疾人文体活动5次。</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（二）绩效目标设定及指标完成情况。</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仿宋_GB2312"/>
          <w:color w:val="auto"/>
          <w:kern w:val="0"/>
          <w:szCs w:val="32"/>
        </w:rPr>
      </w:pPr>
      <w:r>
        <w:rPr>
          <w:rFonts w:hint="eastAsia" w:ascii="仿宋_GB2312"/>
          <w:color w:val="auto"/>
          <w:kern w:val="0"/>
          <w:szCs w:val="32"/>
        </w:rPr>
        <w:t>2020年呈贡区残联项目支出</w:t>
      </w:r>
      <w:r>
        <w:rPr>
          <w:rFonts w:hint="eastAsia" w:ascii="仿宋_GB2312" w:hAnsi="仿宋_GB2312" w:cs="仿宋_GB2312"/>
          <w:color w:val="auto"/>
          <w:kern w:val="0"/>
          <w:szCs w:val="32"/>
        </w:rPr>
        <w:t>4,704,874.33</w:t>
      </w:r>
      <w:r>
        <w:rPr>
          <w:rFonts w:hint="eastAsia" w:ascii="仿宋_GB2312"/>
          <w:color w:val="auto"/>
          <w:kern w:val="0"/>
          <w:szCs w:val="32"/>
        </w:rPr>
        <w:t>元，年末无结转结余。与2019年项目支出2,585,038.91元相比，2020年项目支出增加82%，其主要原因是上级补助收入增加1,531,800.00元,按上级补助各项资金要求列支.按照区财政工作要求，直接补助至残疾人的资金，通过与财政联发文直接划转用款额度到各街道，不再计入残联收支，因此略有降低。2020年各项项目工作均按照上级文件要求开展工作，现各项工作已经全面完成。</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黑体" w:eastAsia="黑体"/>
          <w:color w:val="auto"/>
          <w:kern w:val="0"/>
          <w:szCs w:val="32"/>
        </w:rPr>
      </w:pPr>
      <w:r>
        <w:rPr>
          <w:rFonts w:hint="eastAsia" w:ascii="黑体" w:eastAsia="黑体"/>
          <w:color w:val="auto"/>
          <w:kern w:val="0"/>
          <w:szCs w:val="32"/>
        </w:rPr>
        <w:t>二、项目资金使用及管理情况</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仿宋_GB2312" w:hAnsi="仿宋_GB2312" w:cs="仿宋_GB2312"/>
          <w:color w:val="auto"/>
          <w:kern w:val="0"/>
          <w:szCs w:val="32"/>
        </w:rPr>
      </w:pPr>
      <w:r>
        <w:rPr>
          <w:rFonts w:hint="eastAsia" w:ascii="仿宋_GB2312" w:hAnsi="仿宋_GB2312" w:cs="仿宋_GB2312"/>
          <w:color w:val="auto"/>
          <w:kern w:val="0"/>
          <w:szCs w:val="32"/>
        </w:rPr>
        <w:t>项目资金（包括公共财政预算资金、政府性基金、财政专户资金、自筹资金等）安排落实、总投入等情况分析。项目资金（主要是指财政拨款）实际使用情况分析。项目资金管理情况（包括管理制度、办法的制订及执行情况）分析。</w:t>
      </w:r>
    </w:p>
    <w:p>
      <w:pPr>
        <w:keepNext w:val="0"/>
        <w:keepLines w:val="0"/>
        <w:pageBreakBefore w:val="0"/>
        <w:widowControl w:val="0"/>
        <w:kinsoku/>
        <w:wordWrap/>
        <w:overflowPunct/>
        <w:autoSpaceDE/>
        <w:autoSpaceDN/>
        <w:bidi w:val="0"/>
        <w:adjustRightInd/>
        <w:spacing w:line="560" w:lineRule="exact"/>
        <w:ind w:firstLine="594" w:firstLineChars="200"/>
        <w:textAlignment w:val="auto"/>
        <w:rPr>
          <w:rFonts w:ascii="仿宋_GB2312" w:hAnsi="仿宋_GB2312" w:cs="仿宋_GB2312"/>
          <w:color w:val="auto"/>
          <w:kern w:val="0"/>
          <w:szCs w:val="32"/>
        </w:rPr>
      </w:pPr>
      <w:r>
        <w:rPr>
          <w:rFonts w:hint="eastAsia" w:ascii="仿宋_GB2312" w:hAnsi="仿宋_GB2312" w:cs="仿宋_GB2312"/>
          <w:color w:val="auto"/>
          <w:kern w:val="0"/>
          <w:szCs w:val="32"/>
        </w:rPr>
        <w:t>2020年呈贡区残联收入项目资金4,704,874.33元，其中一般公共预算财政拨款项目资金3,926,780.19元，政府性基金项目资金778,094.14元。具体使用情况如下：</w:t>
      </w:r>
    </w:p>
    <w:p>
      <w:pPr>
        <w:keepNext w:val="0"/>
        <w:keepLines w:val="0"/>
        <w:pageBreakBefore w:val="0"/>
        <w:widowControl w:val="0"/>
        <w:kinsoku/>
        <w:wordWrap/>
        <w:overflowPunct/>
        <w:autoSpaceDE/>
        <w:autoSpaceDN/>
        <w:bidi w:val="0"/>
        <w:adjustRightInd/>
        <w:spacing w:line="560" w:lineRule="exact"/>
        <w:ind w:firstLine="594" w:firstLineChars="200"/>
        <w:textAlignment w:val="auto"/>
        <w:rPr>
          <w:rFonts w:ascii="仿宋_GB2312" w:hAnsi="仿宋_GB2312" w:cs="仿宋_GB2312"/>
          <w:color w:val="auto"/>
          <w:kern w:val="0"/>
          <w:szCs w:val="32"/>
        </w:rPr>
      </w:pPr>
      <w:r>
        <w:rPr>
          <w:rFonts w:hint="eastAsia" w:ascii="仿宋_GB2312" w:hAnsi="仿宋_GB2312" w:cs="仿宋_GB2312"/>
          <w:color w:val="auto"/>
          <w:kern w:val="0"/>
          <w:szCs w:val="32"/>
        </w:rPr>
        <w:t>残疾人康复709,672.19元，主要用于开展精神残疾人服药补助、长期、短期残疾人住院补助、残疾人辅助器具配发、残疾儿童住院康复补助、社区残疾人康复站管理员补助等工作。</w:t>
      </w:r>
    </w:p>
    <w:p>
      <w:pPr>
        <w:keepNext w:val="0"/>
        <w:keepLines w:val="0"/>
        <w:pageBreakBefore w:val="0"/>
        <w:widowControl w:val="0"/>
        <w:kinsoku/>
        <w:wordWrap/>
        <w:overflowPunct/>
        <w:autoSpaceDE/>
        <w:autoSpaceDN/>
        <w:bidi w:val="0"/>
        <w:adjustRightInd/>
        <w:spacing w:line="560" w:lineRule="exact"/>
        <w:ind w:firstLine="594" w:firstLineChars="200"/>
        <w:jc w:val="left"/>
        <w:textAlignment w:val="auto"/>
        <w:rPr>
          <w:rFonts w:hint="eastAsia" w:ascii="仿宋_GB2312" w:hAnsi="仿宋_GB2312" w:cs="仿宋_GB2312"/>
          <w:color w:val="auto"/>
          <w:kern w:val="0"/>
          <w:szCs w:val="32"/>
        </w:rPr>
      </w:pPr>
      <w:r>
        <w:rPr>
          <w:rFonts w:hint="eastAsia" w:ascii="仿宋_GB2312" w:hAnsi="仿宋_GB2312" w:cs="仿宋_GB2312"/>
          <w:color w:val="auto"/>
          <w:kern w:val="0"/>
          <w:szCs w:val="32"/>
        </w:rPr>
        <w:t>残疾人就业和扶贫1,444,870.00元，主要用于开展残疾人培训、带领残疾人参加专场残疾人招聘会、残疾人自主创业补助、残疾人大中专助学补助等工作。</w:t>
      </w:r>
    </w:p>
    <w:p>
      <w:pPr>
        <w:keepNext w:val="0"/>
        <w:keepLines w:val="0"/>
        <w:pageBreakBefore w:val="0"/>
        <w:widowControl w:val="0"/>
        <w:kinsoku/>
        <w:wordWrap/>
        <w:overflowPunct/>
        <w:autoSpaceDE/>
        <w:autoSpaceDN/>
        <w:bidi w:val="0"/>
        <w:adjustRightInd/>
        <w:spacing w:line="560" w:lineRule="exact"/>
        <w:ind w:firstLine="594" w:firstLineChars="200"/>
        <w:jc w:val="left"/>
        <w:textAlignment w:val="auto"/>
        <w:rPr>
          <w:rFonts w:ascii="仿宋_GB2312" w:hAnsi="仿宋_GB2312" w:cs="仿宋_GB2312"/>
          <w:color w:val="auto"/>
          <w:kern w:val="0"/>
          <w:szCs w:val="32"/>
        </w:rPr>
      </w:pPr>
      <w:r>
        <w:rPr>
          <w:rFonts w:hint="eastAsia" w:ascii="仿宋_GB2312" w:hAnsi="仿宋_GB2312" w:cs="仿宋_GB2312"/>
          <w:color w:val="auto"/>
          <w:kern w:val="0"/>
          <w:szCs w:val="32"/>
        </w:rPr>
        <w:t>残疾人体育2,000.00主要用于开展残疾人体育工作</w:t>
      </w:r>
      <w:r>
        <w:rPr>
          <w:rFonts w:hint="eastAsia" w:ascii="仿宋_GB2312" w:hAnsi="仿宋_GB2312" w:cs="仿宋_GB2312"/>
          <w:color w:val="auto"/>
          <w:kern w:val="0"/>
          <w:szCs w:val="32"/>
          <w:lang w:eastAsia="zh-CN"/>
        </w:rPr>
        <w:t>。</w:t>
      </w:r>
    </w:p>
    <w:p>
      <w:pPr>
        <w:keepNext w:val="0"/>
        <w:keepLines w:val="0"/>
        <w:pageBreakBefore w:val="0"/>
        <w:widowControl w:val="0"/>
        <w:kinsoku/>
        <w:wordWrap/>
        <w:overflowPunct/>
        <w:autoSpaceDE/>
        <w:autoSpaceDN/>
        <w:bidi w:val="0"/>
        <w:adjustRightInd/>
        <w:spacing w:line="560" w:lineRule="exact"/>
        <w:ind w:firstLine="594" w:firstLineChars="200"/>
        <w:textAlignment w:val="auto"/>
        <w:rPr>
          <w:rFonts w:ascii="仿宋_GB2312" w:hAnsi="仿宋_GB2312" w:cs="仿宋_GB2312"/>
          <w:color w:val="auto"/>
          <w:kern w:val="0"/>
          <w:szCs w:val="32"/>
        </w:rPr>
      </w:pPr>
      <w:r>
        <w:rPr>
          <w:rFonts w:hint="eastAsia" w:ascii="仿宋_GB2312" w:hAnsi="仿宋_GB2312" w:cs="仿宋_GB2312"/>
          <w:color w:val="auto"/>
          <w:kern w:val="0"/>
          <w:szCs w:val="32"/>
        </w:rPr>
        <w:t>其他残疾人事业支出1,770,238.00元，主要用于开展残疾人慰问、保险、就业创业扶持、五个专门协会活动、残疾人专项调查、残疾人宣传文体等活动。</w:t>
      </w:r>
    </w:p>
    <w:p>
      <w:pPr>
        <w:keepNext w:val="0"/>
        <w:keepLines w:val="0"/>
        <w:pageBreakBefore w:val="0"/>
        <w:widowControl w:val="0"/>
        <w:kinsoku/>
        <w:wordWrap/>
        <w:overflowPunct/>
        <w:autoSpaceDE/>
        <w:autoSpaceDN/>
        <w:bidi w:val="0"/>
        <w:adjustRightInd/>
        <w:spacing w:line="560" w:lineRule="exact"/>
        <w:ind w:firstLine="594" w:firstLineChars="200"/>
        <w:textAlignment w:val="auto"/>
        <w:rPr>
          <w:rFonts w:ascii="仿宋_GB2312" w:hAnsi="仿宋_GB2312" w:cs="仿宋_GB2312"/>
          <w:color w:val="auto"/>
          <w:kern w:val="0"/>
          <w:szCs w:val="32"/>
        </w:rPr>
      </w:pPr>
      <w:r>
        <w:rPr>
          <w:rFonts w:hint="eastAsia" w:ascii="仿宋_GB2312" w:hAnsi="仿宋_GB2312" w:cs="仿宋_GB2312"/>
          <w:color w:val="auto"/>
          <w:kern w:val="0"/>
          <w:szCs w:val="32"/>
        </w:rPr>
        <w:t>用于残疾人事业的彩票公益金支出778,094.14元。为市级下拨残疾人助学补助及康复补助资金。</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仿宋_GB2312" w:hAnsi="仿宋_GB2312" w:cs="仿宋_GB2312"/>
          <w:kern w:val="0"/>
          <w:szCs w:val="32"/>
        </w:rPr>
      </w:pPr>
      <w:r>
        <w:rPr>
          <w:rFonts w:hint="eastAsia" w:ascii="仿宋_GB2312" w:hAnsi="仿宋_GB2312" w:cs="仿宋_GB2312"/>
          <w:color w:val="auto"/>
          <w:kern w:val="0"/>
          <w:szCs w:val="32"/>
        </w:rPr>
        <w:t>2020年项目资金均按照有关项目</w:t>
      </w:r>
      <w:r>
        <w:rPr>
          <w:rFonts w:hint="eastAsia" w:ascii="仿宋_GB2312" w:hAnsi="仿宋_GB2312" w:cs="仿宋_GB2312"/>
          <w:kern w:val="0"/>
          <w:szCs w:val="32"/>
        </w:rPr>
        <w:t>要求及上级工作要求开展，属于补助残疾人的资金支出均根据财政要求，与区财政联合会发文，直接将区残联有关项目资金额度划转街道，由各街道根据自身工作要求及工作安排发放至残疾人，发放完毕后，街道社区提交残疾人签领复印件作为备查档案。属于与相关机构直接结算的，区残联根据相关文件要求，机构出具相应发票提供相应材料进行资金拨付。同时，呈贡区残联严格按照《呈贡区残联下拨资金和实物管理办法》、《呈贡区残联资金及设备使用情况监督检查制度》要求，将资金和实物检查形成常态工作，2020年呈贡区残联采取随机抽取的形式，采用电话抽查、实地抽查等方式抽查下拨残疾人资金和实物发放情况</w:t>
      </w:r>
      <w:r>
        <w:rPr>
          <w:rFonts w:hint="eastAsia" w:ascii="仿宋_GB2312" w:hAnsi="仿宋_GB2312" w:cs="仿宋_GB2312"/>
          <w:kern w:val="0"/>
          <w:szCs w:val="32"/>
          <w:lang w:val="en-US" w:eastAsia="zh-CN"/>
        </w:rPr>
        <w:t>1</w:t>
      </w:r>
      <w:r>
        <w:rPr>
          <w:rFonts w:hint="eastAsia" w:ascii="仿宋_GB2312" w:hAnsi="仿宋_GB2312" w:cs="仿宋_GB2312"/>
          <w:kern w:val="0"/>
          <w:szCs w:val="32"/>
        </w:rPr>
        <w:t>次，抽查中未发现相关问题，未接到残疾人反应相关问题。</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黑体" w:eastAsia="黑体"/>
          <w:kern w:val="0"/>
          <w:szCs w:val="32"/>
        </w:rPr>
      </w:pPr>
      <w:r>
        <w:rPr>
          <w:rFonts w:hint="eastAsia" w:ascii="黑体" w:eastAsia="黑体"/>
          <w:kern w:val="0"/>
          <w:szCs w:val="32"/>
        </w:rPr>
        <w:t>三、项目组织实施情况</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仿宋_GB2312" w:hAnsi="仿宋_GB2312" w:cs="仿宋_GB2312"/>
          <w:kern w:val="0"/>
          <w:szCs w:val="32"/>
        </w:rPr>
      </w:pPr>
      <w:r>
        <w:rPr>
          <w:rFonts w:hint="eastAsia" w:ascii="仿宋_GB2312" w:hAnsi="仿宋_GB2312" w:cs="仿宋_GB2312"/>
          <w:kern w:val="0"/>
          <w:szCs w:val="32"/>
        </w:rPr>
        <w:t>项目组织情况分析，主要包括项目前期准备、招投标、调整、竣工验收等情况。项目管理情况分析，主要包括项目管理制度、办法的制订、日常检查监督管理等情况。</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仿宋_GB2312" w:hAnsi="仿宋_GB2312" w:cs="仿宋_GB2312"/>
          <w:kern w:val="0"/>
          <w:szCs w:val="32"/>
        </w:rPr>
      </w:pPr>
      <w:r>
        <w:rPr>
          <w:rFonts w:hint="eastAsia" w:ascii="仿宋_GB2312" w:hAnsi="仿宋_GB2312" w:cs="仿宋_GB2312"/>
          <w:kern w:val="0"/>
          <w:szCs w:val="32"/>
        </w:rPr>
        <w:t>2020年残疾人事业各项项目工作，从保障残疾人合法权益，帮助残疾人恢复身体、社会功能，推进社会和谐发展的目标出发，按照残疾人需求筛查、项目计划申报开展、残疾人申请、社区初审公示、街道复审、区残联审核、组织实施落实、后期检查的步骤开展项目工作。项目工作充分尊重残疾人意愿，接受社会各界监督、社区街道层层把关，确保资金落实到位。严格按照《呈贡区残联“三重一大”集体决策制度》、《呈贡区残联办公会议制度》、《呈贡区残联理事会议议事规则》、《呈贡区残联财务管理制度》、《呈贡区残联下拨资金和实物管理办法》、《呈贡区残联资金及设备使用情况监督检查制度》、《呈贡区残联固定资产管理制度》等相关制度实施，从资金使用前、使用中、使用后都进</w:t>
      </w:r>
      <w:bookmarkStart w:id="3" w:name="_GoBack"/>
      <w:bookmarkEnd w:id="3"/>
      <w:r>
        <w:rPr>
          <w:rFonts w:hint="eastAsia" w:ascii="仿宋_GB2312" w:hAnsi="仿宋_GB2312" w:cs="仿宋_GB2312"/>
          <w:kern w:val="0"/>
          <w:szCs w:val="32"/>
        </w:rPr>
        <w:t>行有效监管和控制，确保资金使用的安全性、规范性和有效性。经过检查，各项工作均全部按要求实施，没有未完成或者未开展的情况发展。</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黑体" w:eastAsia="黑体"/>
          <w:kern w:val="0"/>
          <w:szCs w:val="32"/>
        </w:rPr>
      </w:pPr>
      <w:r>
        <w:rPr>
          <w:rFonts w:hint="eastAsia" w:ascii="黑体" w:eastAsia="黑体"/>
          <w:kern w:val="0"/>
          <w:szCs w:val="32"/>
        </w:rPr>
        <w:t>四、项目绩效情况</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仿宋_GB2312"/>
          <w:kern w:val="0"/>
          <w:szCs w:val="32"/>
        </w:rPr>
      </w:pPr>
      <w:r>
        <w:rPr>
          <w:rFonts w:hint="eastAsia" w:ascii="仿宋_GB2312"/>
          <w:kern w:val="0"/>
          <w:szCs w:val="32"/>
        </w:rPr>
        <w:t>主要从项目的经济性、效率性、有效性和可持续性等方面进行量化、具体分析。其中：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仿宋_GB2312"/>
          <w:kern w:val="0"/>
          <w:szCs w:val="32"/>
        </w:rPr>
      </w:pPr>
      <w:r>
        <w:rPr>
          <w:rFonts w:hint="eastAsia" w:ascii="仿宋_GB2312"/>
          <w:kern w:val="0"/>
          <w:szCs w:val="32"/>
        </w:rPr>
        <w:t>2020年呈贡区残联项目工作均按照有关文件实施，在项目工作中严格执行预算控制，所有项目实施均在预算范围内，按照既定目标完成项目工作。个别残疾人事业项目资金支出速度较慢，主要原因是项目期间较长，项目资金投入主要在项目完成结算阶段，另外部分项目具有时效性，主要集中在9-11月开展，导致项目实施看似推迟或进展较慢，但所有项目均按照上级有关文件要求按时按质完成。2020年所有项目均达到项目目标，在康复、助学、托养、救助、就业、文化体育方面对残疾人进行了扶持，工作得到了区委区政府的肯定，受到残疾人的支持和欢迎，将残疾人事业推向了新的高度。项目结束后，区残联结合内控工作，积极开展绩效管理工作，及时进行资料收集与整理、信息反馈及评价工作，促进项目绩效管理工作顺利完成。充分运用项目绩效自评结果，区残联根据2020年项目实施情况，调整申报2021年预算，减少上级补助资金较多的项目预算，统筹中央、省、市、区项目资金使用，达到了项目绩效结果运用指导工作开展的目的，促进残疾人事业更好的发展。</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黑体" w:eastAsia="黑体"/>
          <w:kern w:val="0"/>
          <w:szCs w:val="32"/>
        </w:rPr>
      </w:pPr>
      <w:r>
        <w:rPr>
          <w:rFonts w:hint="eastAsia" w:ascii="黑体" w:eastAsia="黑体"/>
          <w:kern w:val="0"/>
          <w:szCs w:val="32"/>
        </w:rPr>
        <w:t>五、存在的问题</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仿宋_GB2312"/>
          <w:kern w:val="0"/>
          <w:szCs w:val="32"/>
        </w:rPr>
      </w:pPr>
      <w:r>
        <w:rPr>
          <w:rFonts w:hint="eastAsia" w:ascii="仿宋_GB2312"/>
          <w:kern w:val="0"/>
          <w:szCs w:val="32"/>
        </w:rPr>
        <w:t>（一）专项管理方面的问题。专项立项依据是否充分；是否有资金管理办法，资金管理办法是否规范等。</w:t>
      </w:r>
    </w:p>
    <w:p>
      <w:pPr>
        <w:keepNext w:val="0"/>
        <w:keepLines w:val="0"/>
        <w:pageBreakBefore w:val="0"/>
        <w:widowControl w:val="0"/>
        <w:kinsoku/>
        <w:wordWrap/>
        <w:overflowPunct/>
        <w:autoSpaceDE/>
        <w:autoSpaceDN/>
        <w:bidi w:val="0"/>
        <w:adjustRightInd/>
        <w:spacing w:line="560" w:lineRule="exact"/>
        <w:ind w:firstLine="594" w:firstLineChars="200"/>
        <w:jc w:val="left"/>
        <w:textAlignment w:val="auto"/>
        <w:rPr>
          <w:rFonts w:ascii="仿宋_GB2312" w:hAnsi="仿宋_GB2312" w:cs="仿宋_GB2312"/>
          <w:kern w:val="0"/>
          <w:szCs w:val="32"/>
        </w:rPr>
      </w:pPr>
      <w:r>
        <w:rPr>
          <w:rFonts w:hint="eastAsia" w:ascii="仿宋_GB2312" w:hAnsi="仿宋_GB2312" w:cs="仿宋_GB2312"/>
          <w:kern w:val="0"/>
          <w:szCs w:val="32"/>
        </w:rPr>
        <w:t>2020年各项项目工作</w:t>
      </w:r>
      <w:r>
        <w:rPr>
          <w:rFonts w:hint="eastAsia" w:ascii="仿宋_GB2312"/>
          <w:kern w:val="0"/>
          <w:szCs w:val="32"/>
        </w:rPr>
        <w:t>均根据上级文件立项开展，针对残疾人康复、教育、托养、救助等需求立项。各项</w:t>
      </w:r>
      <w:r>
        <w:rPr>
          <w:rFonts w:hint="eastAsia" w:ascii="仿宋_GB2312" w:hAnsi="仿宋_GB2312" w:cs="仿宋_GB2312"/>
          <w:kern w:val="0"/>
          <w:szCs w:val="32"/>
        </w:rPr>
        <w:t>直接拨付街道的相项目资金，均根据财政资金管理使用要求，与区财政联合会发文，直接将区残联有关项目资金额度划转街道，由各街道根据自身财务资金管理要求及工作安排管理使用项目资金，对直接发放残疾人补贴的资金，由街道社区提交残疾人资金签领表复印件作为备查档案。属于与相关机构直接结算的，区残联根据相关文件要求，机构出具相应发票提供相应工作材料后进行资金拨付。</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仿宋_GB2312"/>
          <w:kern w:val="0"/>
          <w:szCs w:val="32"/>
        </w:rPr>
      </w:pPr>
      <w:r>
        <w:rPr>
          <w:rFonts w:hint="eastAsia" w:ascii="仿宋_GB2312" w:hAnsi="仿宋_GB2312" w:cs="仿宋_GB2312"/>
          <w:kern w:val="0"/>
          <w:szCs w:val="32"/>
        </w:rPr>
        <w:t>相关省市资金使用情况均严格按照市残联要求进行材料报送，并接受上级对儿童康复等项目资金延伸审计及资金绩效评价，有效提高残疾人资金使用效益，进一步确保残疾人资金使用合规、合法、合理。</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仿宋_GB2312"/>
          <w:kern w:val="0"/>
          <w:szCs w:val="32"/>
        </w:rPr>
      </w:pPr>
      <w:r>
        <w:rPr>
          <w:rFonts w:hint="eastAsia" w:ascii="仿宋_GB2312"/>
          <w:kern w:val="0"/>
          <w:szCs w:val="32"/>
        </w:rPr>
        <w:t>（二）资金分配方面的问题。资金分配是否合理，突出重点，公平公正；有无散小差现象；资金分配和使用方向是否与资金管理办法相符等。</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仿宋_GB2312"/>
          <w:kern w:val="0"/>
          <w:szCs w:val="32"/>
        </w:rPr>
      </w:pPr>
      <w:r>
        <w:rPr>
          <w:rFonts w:hint="eastAsia" w:ascii="仿宋_GB2312"/>
          <w:kern w:val="0"/>
          <w:szCs w:val="32"/>
        </w:rPr>
        <w:t>2020年项目工作均按照残疾人自主申请意愿及各街道持证残疾人比例、社区数进行分配划拨至街道，不存在资金偏向不公正、有偏差的问题，所有资金管理使用均按照上级有关项目文件要求进行实施。</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仿宋_GB2312"/>
          <w:kern w:val="0"/>
          <w:szCs w:val="32"/>
        </w:rPr>
      </w:pPr>
      <w:r>
        <w:rPr>
          <w:rFonts w:hint="eastAsia" w:ascii="仿宋_GB2312"/>
          <w:kern w:val="0"/>
          <w:szCs w:val="32"/>
        </w:rPr>
        <w:t>（三）资金拨付方面的问题。拨付是否及时，有无滞留、闲置等现象。</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仿宋_GB2312"/>
          <w:kern w:val="0"/>
          <w:szCs w:val="32"/>
        </w:rPr>
      </w:pPr>
      <w:r>
        <w:rPr>
          <w:rFonts w:hint="eastAsia" w:ascii="仿宋_GB2312"/>
          <w:kern w:val="0"/>
          <w:szCs w:val="32"/>
        </w:rPr>
        <w:t>2020年各个项目资金均按照项目工作计划按期开展并按时拨付项目资金至有关街道，个别项目支出进度不高，主要是项目支付方式及项目本身具有时效性影响，无滞留、闲置情况发生。</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仿宋_GB2312"/>
          <w:kern w:val="0"/>
          <w:szCs w:val="32"/>
        </w:rPr>
      </w:pPr>
      <w:r>
        <w:rPr>
          <w:rFonts w:hint="eastAsia" w:ascii="仿宋_GB2312"/>
          <w:kern w:val="0"/>
          <w:szCs w:val="32"/>
        </w:rPr>
        <w:t>（四）资金使用方面的问题。资金使用是否合规，有无截留、挪用等现象，资金使用是否产生效益等。</w:t>
      </w:r>
    </w:p>
    <w:p>
      <w:pPr>
        <w:keepNext w:val="0"/>
        <w:keepLines w:val="0"/>
        <w:pageBreakBefore w:val="0"/>
        <w:widowControl w:val="0"/>
        <w:kinsoku/>
        <w:wordWrap/>
        <w:overflowPunct/>
        <w:autoSpaceDE/>
        <w:autoSpaceDN/>
        <w:bidi w:val="0"/>
        <w:adjustRightInd/>
        <w:spacing w:line="560" w:lineRule="exact"/>
        <w:ind w:firstLine="594" w:firstLineChars="200"/>
        <w:jc w:val="left"/>
        <w:textAlignment w:val="auto"/>
        <w:rPr>
          <w:rFonts w:ascii="仿宋_GB2312"/>
          <w:kern w:val="0"/>
          <w:szCs w:val="32"/>
        </w:rPr>
      </w:pPr>
      <w:r>
        <w:rPr>
          <w:rFonts w:hint="eastAsia" w:ascii="仿宋_GB2312" w:hAnsi="仿宋_GB2312" w:cs="仿宋_GB2312"/>
          <w:kern w:val="0"/>
          <w:szCs w:val="32"/>
        </w:rPr>
        <w:t>呈贡区残联严格按照《呈贡区残联下拨资金和实物管理办法》、《呈贡区残联资金及设备使用情况监督检查制度》要求，将资金和实物检查形成常态工作，2020年各业务科室积极开展资金和物资发放抽查工作，未发现截留挪用项目资金情况，各个项目工作均顺利实施完成，2020年残疾人群体稳定，无越级上访、群体上访等事件发生。</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黑体" w:eastAsia="黑体"/>
          <w:kern w:val="0"/>
          <w:szCs w:val="32"/>
        </w:rPr>
      </w:pPr>
      <w:r>
        <w:rPr>
          <w:rFonts w:hint="eastAsia" w:ascii="黑体" w:eastAsia="黑体"/>
          <w:kern w:val="0"/>
          <w:szCs w:val="32"/>
        </w:rPr>
        <w:t>六、其他需要说明的问题</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仿宋_GB2312"/>
          <w:kern w:val="0"/>
          <w:szCs w:val="32"/>
        </w:rPr>
      </w:pPr>
      <w:r>
        <w:rPr>
          <w:rFonts w:hint="eastAsia" w:ascii="楷体_GB2312" w:hAnsi="楷体_GB2312" w:eastAsia="楷体_GB2312" w:cs="楷体_GB2312"/>
          <w:kern w:val="0"/>
          <w:szCs w:val="32"/>
        </w:rPr>
        <w:t>（一）后续工作计划。</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ascii="仿宋_GB2312"/>
          <w:kern w:val="0"/>
          <w:szCs w:val="32"/>
        </w:rPr>
      </w:pPr>
      <w:r>
        <w:rPr>
          <w:rFonts w:hint="eastAsia" w:ascii="仿宋_GB2312" w:hAnsi="仿宋_GB2312" w:cs="仿宋_GB2312"/>
          <w:kern w:val="0"/>
          <w:szCs w:val="32"/>
        </w:rPr>
        <w:t>下步工作中，区残联将加强资金落实监管，加强各业务科室绩效自评知识普及宣传，不断完善绩效评价制度建设，继续严格按照区委、区政府及区财政局的相关要求，做好预算绩效管理工作，整合上级下拨项目资金，全面提高残疾人资金使用效率，为残疾人争取实实在在的利益。</w:t>
      </w:r>
    </w:p>
    <w:p>
      <w:pPr>
        <w:keepNext w:val="0"/>
        <w:keepLines w:val="0"/>
        <w:pageBreakBefore w:val="0"/>
        <w:widowControl w:val="0"/>
        <w:kinsoku/>
        <w:wordWrap/>
        <w:overflowPunct/>
        <w:topLinePunct/>
        <w:autoSpaceDE/>
        <w:autoSpaceDN/>
        <w:bidi w:val="0"/>
        <w:adjustRightInd/>
        <w:spacing w:line="560" w:lineRule="exact"/>
        <w:ind w:firstLine="594" w:firstLineChars="200"/>
        <w:textAlignment w:val="auto"/>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（二）主要经验做法、改进措施和有关建议等。</w:t>
      </w:r>
    </w:p>
    <w:p>
      <w:pPr>
        <w:keepNext w:val="0"/>
        <w:keepLines w:val="0"/>
        <w:pageBreakBefore w:val="0"/>
        <w:widowControl w:val="0"/>
        <w:kinsoku/>
        <w:wordWrap/>
        <w:overflowPunct/>
        <w:autoSpaceDE/>
        <w:autoSpaceDN/>
        <w:bidi w:val="0"/>
        <w:adjustRightInd/>
        <w:spacing w:line="560" w:lineRule="exact"/>
        <w:ind w:firstLine="594" w:firstLineChars="200"/>
        <w:textAlignment w:val="auto"/>
        <w:rPr>
          <w:kern w:val="0"/>
        </w:rPr>
      </w:pPr>
      <w:r>
        <w:rPr>
          <w:rFonts w:hint="eastAsia"/>
          <w:kern w:val="0"/>
        </w:rPr>
        <w:t>各业务科室要进一步提高项目绩效评价管理工作的认识，掌握本科室涉及项目工作的绩效指标，依照指标推进工作，对项目绩效指标提出好的意见建议，积极运用项目绩效评价结果指导工作，促进项目工作按期按质量全面完成。</w:t>
      </w:r>
    </w:p>
    <w:p>
      <w:pPr>
        <w:keepNext w:val="0"/>
        <w:keepLines w:val="0"/>
        <w:pageBreakBefore w:val="0"/>
        <w:widowControl w:val="0"/>
        <w:kinsoku/>
        <w:wordWrap/>
        <w:overflowPunct/>
        <w:autoSpaceDE/>
        <w:autoSpaceDN/>
        <w:bidi w:val="0"/>
        <w:adjustRightInd/>
        <w:spacing w:line="560" w:lineRule="exact"/>
        <w:textAlignment w:val="auto"/>
        <w:rPr>
          <w:kern w:val="0"/>
        </w:rPr>
      </w:pPr>
    </w:p>
    <w:p>
      <w:pPr>
        <w:keepNext w:val="0"/>
        <w:keepLines w:val="0"/>
        <w:pageBreakBefore w:val="0"/>
        <w:widowControl w:val="0"/>
        <w:kinsoku/>
        <w:wordWrap/>
        <w:overflowPunct/>
        <w:topLinePunct/>
        <w:autoSpaceDE/>
        <w:autoSpaceDN/>
        <w:bidi w:val="0"/>
        <w:adjustRightInd/>
        <w:spacing w:line="560" w:lineRule="exact"/>
        <w:ind w:firstLine="594" w:firstLineChars="200"/>
        <w:jc w:val="right"/>
        <w:textAlignment w:val="auto"/>
        <w:rPr>
          <w:rFonts w:ascii="仿宋_GB2312" w:hAnsi="仿宋_GB2312" w:cs="仿宋_GB2312"/>
          <w:kern w:val="0"/>
          <w:szCs w:val="32"/>
        </w:rPr>
      </w:pPr>
      <w:r>
        <w:rPr>
          <w:rFonts w:hint="eastAsia" w:ascii="仿宋_GB2312" w:hAnsi="仿宋_GB2312" w:cs="仿宋_GB2312"/>
          <w:kern w:val="0"/>
          <w:szCs w:val="32"/>
        </w:rPr>
        <w:t>昆明市呈贡区残疾人联合会</w:t>
      </w:r>
    </w:p>
    <w:p>
      <w:pPr>
        <w:keepNext w:val="0"/>
        <w:keepLines w:val="0"/>
        <w:pageBreakBefore w:val="0"/>
        <w:widowControl w:val="0"/>
        <w:kinsoku/>
        <w:wordWrap/>
        <w:overflowPunct/>
        <w:topLinePunct/>
        <w:autoSpaceDE/>
        <w:autoSpaceDN/>
        <w:bidi w:val="0"/>
        <w:adjustRightInd/>
        <w:spacing w:line="560" w:lineRule="exact"/>
        <w:ind w:firstLine="594" w:firstLineChars="200"/>
        <w:jc w:val="center"/>
        <w:textAlignment w:val="auto"/>
        <w:rPr>
          <w:rFonts w:ascii="仿宋_GB2312" w:hAnsi="仿宋_GB2312" w:cs="仿宋_GB2312"/>
          <w:kern w:val="0"/>
          <w:szCs w:val="32"/>
        </w:rPr>
      </w:pPr>
      <w:r>
        <w:rPr>
          <w:rFonts w:hint="eastAsia" w:ascii="仿宋_GB2312" w:hAnsi="仿宋_GB2312" w:cs="仿宋_GB2312"/>
          <w:kern w:val="0"/>
          <w:szCs w:val="32"/>
        </w:rPr>
        <w:t xml:space="preserve">                              2021年3月24日   </w:t>
      </w:r>
    </w:p>
    <w:sectPr>
      <w:pgSz w:w="11906" w:h="16838"/>
      <w:pgMar w:top="2098" w:right="1474" w:bottom="1984" w:left="1587" w:header="851" w:footer="992" w:gutter="0"/>
      <w:cols w:space="0" w:num="1"/>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documentProtection w:edit="forms" w:enforcement="0"/>
  <w:defaultTabStop w:val="420"/>
  <w:drawingGridHorizontalSpacing w:val="148"/>
  <w:drawingGridVerticalSpacing w:val="304"/>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E1CB7"/>
    <w:rsid w:val="001776B8"/>
    <w:rsid w:val="001E1CB7"/>
    <w:rsid w:val="00450DAD"/>
    <w:rsid w:val="007679B2"/>
    <w:rsid w:val="00872AFF"/>
    <w:rsid w:val="008D794F"/>
    <w:rsid w:val="00B12D27"/>
    <w:rsid w:val="05AE36CA"/>
    <w:rsid w:val="07074F93"/>
    <w:rsid w:val="0BB733F9"/>
    <w:rsid w:val="19CD16F5"/>
    <w:rsid w:val="2379223E"/>
    <w:rsid w:val="378A5996"/>
    <w:rsid w:val="41110357"/>
    <w:rsid w:val="48673C57"/>
    <w:rsid w:val="4EF9700D"/>
    <w:rsid w:val="58D92AE5"/>
    <w:rsid w:val="5A3C6978"/>
    <w:rsid w:val="67600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qFormat/>
    <w:uiPriority w:val="0"/>
    <w:pPr>
      <w:ind w:left="1680" w:leftChars="800"/>
    </w:pPr>
  </w:style>
  <w:style w:type="paragraph" w:customStyle="1" w:styleId="6">
    <w:name w:val="0"/>
    <w:basedOn w:val="1"/>
    <w:qFormat/>
    <w:uiPriority w:val="0"/>
    <w:pPr>
      <w:widowControl/>
      <w:snapToGrid w:val="0"/>
      <w:spacing w:line="365" w:lineRule="atLeast"/>
      <w:ind w:left="1"/>
    </w:pPr>
    <w:rPr>
      <w:rFonts w:ascii="Calibri" w:hAnsi="Calibri" w:eastAsia="宋体" w:cs="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641</Words>
  <Characters>3658</Characters>
  <Lines>30</Lines>
  <Paragraphs>8</Paragraphs>
  <TotalTime>21</TotalTime>
  <ScaleCrop>false</ScaleCrop>
  <LinksUpToDate>false</LinksUpToDate>
  <CharactersWithSpaces>4291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Administrator</cp:lastModifiedBy>
  <cp:lastPrinted>2020-03-30T05:51:00Z</cp:lastPrinted>
  <dcterms:modified xsi:type="dcterms:W3CDTF">2021-03-15T02:30:18Z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docranid">
    <vt:lpwstr>DE912AE3A5D542C1A79FEC0AC0087EC8</vt:lpwstr>
  </property>
</Properties>
</file>