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2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eastAsia="zh-CN"/>
              </w:rPr>
              <w:t>昆明市呈贡区残疾人联合会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dit="forms"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A707D"/>
    <w:rsid w:val="4DE91F62"/>
    <w:rsid w:val="5B4017AD"/>
    <w:rsid w:val="62415548"/>
    <w:rsid w:val="687B3A6C"/>
    <w:rsid w:val="735768B3"/>
    <w:rsid w:val="7A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NTKO</cp:lastModifiedBy>
  <cp:lastPrinted>2020-03-30T05:50:00Z</cp:lastPrinted>
  <dcterms:modified xsi:type="dcterms:W3CDTF">2021-03-10T09:01:48Z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docranid">
    <vt:lpwstr>134E579565004DEE81CCBA5132506793</vt:lpwstr>
  </property>
</Properties>
</file>