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eastAsia="黑体"/>
          <w:szCs w:val="32"/>
        </w:rPr>
      </w:pPr>
      <w:r>
        <w:rPr>
          <w:rFonts w:hint="eastAsia" w:ascii="黑体" w:eastAsia="黑体"/>
          <w:szCs w:val="32"/>
        </w:rPr>
        <w:t>附件</w:t>
      </w:r>
      <w:r>
        <w:rPr>
          <w:rFonts w:hint="eastAsia" w:ascii="黑体" w:eastAsia="黑体"/>
          <w:szCs w:val="32"/>
          <w:lang w:val="en-US" w:eastAsia="zh-CN"/>
        </w:rPr>
        <w:t>3-1</w:t>
      </w:r>
      <w:r>
        <w:rPr>
          <w:rFonts w:hint="eastAsia" w:ascii="黑体" w:eastAsia="黑体"/>
          <w:szCs w:val="32"/>
        </w:rPr>
        <w:t>：</w:t>
      </w:r>
    </w:p>
    <w:tbl>
      <w:tblPr>
        <w:tblStyle w:val="4"/>
        <w:tblW w:w="9174" w:type="dxa"/>
        <w:jc w:val="center"/>
        <w:tblLayout w:type="fixed"/>
        <w:tblCellMar>
          <w:top w:w="0" w:type="dxa"/>
          <w:left w:w="28" w:type="dxa"/>
          <w:bottom w:w="0" w:type="dxa"/>
          <w:right w:w="28" w:type="dxa"/>
        </w:tblCellMar>
      </w:tblPr>
      <w:tblGrid>
        <w:gridCol w:w="482"/>
        <w:gridCol w:w="635"/>
        <w:gridCol w:w="1085"/>
        <w:gridCol w:w="765"/>
        <w:gridCol w:w="2790"/>
        <w:gridCol w:w="3417"/>
      </w:tblGrid>
      <w:tr>
        <w:tblPrEx>
          <w:tblCellMar>
            <w:top w:w="0" w:type="dxa"/>
            <w:left w:w="28" w:type="dxa"/>
            <w:bottom w:w="0" w:type="dxa"/>
            <w:right w:w="28" w:type="dxa"/>
          </w:tblCellMar>
        </w:tblPrEx>
        <w:trPr>
          <w:tblHeader/>
          <w:jc w:val="center"/>
        </w:trPr>
        <w:tc>
          <w:tcPr>
            <w:tcW w:w="9174" w:type="dxa"/>
            <w:gridSpan w:val="6"/>
            <w:tcBorders>
              <w:bottom w:val="single" w:color="auto" w:sz="4" w:space="0"/>
            </w:tcBorders>
            <w:tcMar>
              <w:top w:w="10" w:type="dxa"/>
              <w:left w:w="10" w:type="dxa"/>
              <w:bottom w:w="0" w:type="dxa"/>
              <w:right w:w="10" w:type="dxa"/>
            </w:tcMar>
            <w:vAlign w:val="center"/>
          </w:tcPr>
          <w:p>
            <w:pPr>
              <w:spacing w:after="156" w:afterLines="50"/>
              <w:jc w:val="center"/>
              <w:rPr>
                <w:rFonts w:ascii="黑体" w:eastAsia="黑体"/>
                <w:b/>
                <w:bCs/>
                <w:sz w:val="18"/>
                <w:szCs w:val="18"/>
              </w:rPr>
            </w:pPr>
            <w:r>
              <w:rPr>
                <w:rFonts w:hint="eastAsia" w:ascii="黑体" w:eastAsia="黑体"/>
                <w:bCs/>
                <w:sz w:val="36"/>
                <w:szCs w:val="36"/>
                <w:lang w:val="en-US" w:eastAsia="zh-CN"/>
              </w:rPr>
              <w:t xml:space="preserve"> </w:t>
            </w:r>
            <w:r>
              <w:rPr>
                <w:rFonts w:hint="eastAsia" w:ascii="黑体" w:eastAsia="黑体"/>
                <w:bCs/>
                <w:sz w:val="36"/>
                <w:szCs w:val="36"/>
              </w:rPr>
              <w:t>部门整体支出绩效自评指标评分表</w:t>
            </w:r>
          </w:p>
        </w:tc>
      </w:tr>
      <w:tr>
        <w:tblPrEx>
          <w:tblCellMar>
            <w:top w:w="0" w:type="dxa"/>
            <w:left w:w="28" w:type="dxa"/>
            <w:bottom w:w="0" w:type="dxa"/>
            <w:right w:w="28" w:type="dxa"/>
          </w:tblCellMar>
        </w:tblPrEx>
        <w:trPr>
          <w:trHeight w:val="950" w:hRule="atLeast"/>
          <w:tblHeader/>
          <w:jc w:val="center"/>
        </w:trPr>
        <w:tc>
          <w:tcPr>
            <w:tcW w:w="48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一级</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rPr>
              <w:t>指标</w:t>
            </w:r>
          </w:p>
        </w:tc>
        <w:tc>
          <w:tcPr>
            <w:tcW w:w="63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二级</w:t>
            </w:r>
          </w:p>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w:t>
            </w: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三级</w:t>
            </w:r>
          </w:p>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自评分</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指标解释</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指标说明</w:t>
            </w:r>
          </w:p>
        </w:tc>
      </w:tr>
      <w:tr>
        <w:tblPrEx>
          <w:tblCellMar>
            <w:top w:w="0" w:type="dxa"/>
            <w:left w:w="28" w:type="dxa"/>
            <w:bottom w:w="0" w:type="dxa"/>
            <w:right w:w="28" w:type="dxa"/>
          </w:tblCellMar>
        </w:tblPrEx>
        <w:trPr>
          <w:trHeight w:val="1491"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   入（20分）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目标</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设定（5分）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绩效目标合理性（2分）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部门所设立的整体绩效目标依据是否充分，是否符合客观实际，用以反映和考核部门整体绩效目标与部门履职、年度工作任务的相符性情况。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①符合国家法律法规、国民经济和社会发展总体规划计1分；②符合部门“三定”方案确定的职责计0.5分；③是否符合部门制定的中长期实施规划计0.5分。</w:t>
            </w:r>
          </w:p>
        </w:tc>
      </w:tr>
      <w:tr>
        <w:tblPrEx>
          <w:tblCellMar>
            <w:top w:w="0" w:type="dxa"/>
            <w:left w:w="28" w:type="dxa"/>
            <w:bottom w:w="0" w:type="dxa"/>
            <w:right w:w="28" w:type="dxa"/>
          </w:tblCellMar>
        </w:tblPrEx>
        <w:trPr>
          <w:trHeight w:val="1674"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绩效指标明确性（3分）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3</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部门依据整体绩效目标所设定的绩效指标是否清晰、细化、可衡量，用以反映和考核部门整体绩效目标的明细化情况。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①将部门整体的绩效目标细化分解为具体的工作任务计1分；②通过清晰、可衡量的指标值予以体现计0.5分。③与部门年度的任务数或计划数相对应计0.5分；④与本年度部门预算资金相匹配计1分。</w:t>
            </w:r>
          </w:p>
        </w:tc>
      </w:tr>
      <w:tr>
        <w:tblPrEx>
          <w:tblCellMar>
            <w:top w:w="0" w:type="dxa"/>
            <w:left w:w="28" w:type="dxa"/>
            <w:bottom w:w="0" w:type="dxa"/>
            <w:right w:w="28" w:type="dxa"/>
          </w:tblCellMar>
        </w:tblPrEx>
        <w:trPr>
          <w:trHeight w:val="1548"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配置（15分）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在职人员控制率（5分）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部门本年度实际在职人员数与编制数的比率，用以反映和考核部门对人员成本的控制程度。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tblPrEx>
          <w:tblCellMar>
            <w:top w:w="0" w:type="dxa"/>
            <w:left w:w="28" w:type="dxa"/>
            <w:bottom w:w="0" w:type="dxa"/>
            <w:right w:w="28" w:type="dxa"/>
          </w:tblCellMar>
        </w:tblPrEx>
        <w:trPr>
          <w:trHeight w:val="1856"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“三公经费”变动率（5分）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部门本年度“三公经费”预算数与上年度“三公经费”预算数的变动比率，用以反映和考核部门对控制重点行政成本的努力程度。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tblPrEx>
          <w:tblCellMar>
            <w:top w:w="0" w:type="dxa"/>
            <w:left w:w="28" w:type="dxa"/>
            <w:bottom w:w="0" w:type="dxa"/>
            <w:right w:w="28" w:type="dxa"/>
          </w:tblCellMar>
        </w:tblPrEx>
        <w:trPr>
          <w:trHeight w:val="2218"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重点支出安排率（5分）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部门本年度预算安排的重点项目支出与部门项目总支出的比率，用以反映和考核部门对履行主要职责或完成重点任务的保障程度。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156" w:beforeLines="50" w:after="156" w:afterLines="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tblPrEx>
          <w:tblCellMar>
            <w:top w:w="0" w:type="dxa"/>
            <w:left w:w="28" w:type="dxa"/>
            <w:bottom w:w="0" w:type="dxa"/>
            <w:right w:w="28" w:type="dxa"/>
          </w:tblCellMar>
        </w:tblPrEx>
        <w:trPr>
          <w:trHeight w:val="529" w:hRule="atLeast"/>
          <w:jc w:val="center"/>
        </w:trPr>
        <w:tc>
          <w:tcPr>
            <w:tcW w:w="482" w:type="dxa"/>
            <w:vMerge w:val="restart"/>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             程（30分）</w:t>
            </w:r>
          </w:p>
        </w:tc>
        <w:tc>
          <w:tcPr>
            <w:tcW w:w="635" w:type="dxa"/>
            <w:vMerge w:val="restart"/>
            <w:tcBorders>
              <w:top w:val="nil"/>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预算执行（20分）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预算完成率(4分)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部门本年度预算完成数与预算数的比率，用以反映和考核部门预算完成程度。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预算完成率=（预算完成数/预算数）×100%。完成年初预算计4分，未完成年初预算按比例扣减，预算完成数：部门本年度实际完成的预算数。预算数：财政部门批复的本年度部门预算数。</w:t>
            </w:r>
          </w:p>
        </w:tc>
      </w:tr>
      <w:tr>
        <w:tblPrEx>
          <w:tblCellMar>
            <w:top w:w="0" w:type="dxa"/>
            <w:left w:w="28" w:type="dxa"/>
            <w:bottom w:w="0" w:type="dxa"/>
            <w:right w:w="28" w:type="dxa"/>
          </w:tblCellMar>
        </w:tblPrEx>
        <w:trPr>
          <w:trHeight w:val="1391"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预算调整率（2分）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部门本年度预算调整数与预算数的比率，用以反映和考核部门预算的调整程度。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CellMar>
            <w:top w:w="0" w:type="dxa"/>
            <w:left w:w="28" w:type="dxa"/>
            <w:bottom w:w="0" w:type="dxa"/>
            <w:right w:w="28" w:type="dxa"/>
          </w:tblCellMar>
        </w:tblPrEx>
        <w:trPr>
          <w:trHeight w:val="2018"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支付进度率（2分）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部门实际支付进度与既定支付进度的比率，用以反映和考核部门预算执行的及时性和均衡性程度。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spacing w:before="62" w:beforeLines="20" w:after="62" w:afterLines="2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CellMar>
            <w:top w:w="0" w:type="dxa"/>
            <w:left w:w="28" w:type="dxa"/>
            <w:bottom w:w="0" w:type="dxa"/>
            <w:right w:w="28" w:type="dxa"/>
          </w:tblCellMar>
        </w:tblPrEx>
        <w:trPr>
          <w:trHeight w:val="315" w:hRule="atLeast"/>
          <w:jc w:val="center"/>
        </w:trPr>
        <w:tc>
          <w:tcPr>
            <w:tcW w:w="482" w:type="dxa"/>
            <w:vMerge w:val="continue"/>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结转结余控制率（4分）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部门本年度结转结余总额与上年结转结余总额增减比例，用以反映和考核部门对存量资金的实际控制程度。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tblPrEx>
          <w:tblCellMar>
            <w:top w:w="0" w:type="dxa"/>
            <w:left w:w="28" w:type="dxa"/>
            <w:bottom w:w="0" w:type="dxa"/>
            <w:right w:w="28" w:type="dxa"/>
          </w:tblCellMar>
        </w:tblPrEx>
        <w:trPr>
          <w:trHeight w:val="1229"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公用经费控制率（2分）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部门本年度实际支出的公用经费总额与预算安排的公用经费总额的比率，用以反映和考核部门对机构运转成本的实际控制程度。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公用经费控制率=（实际支出公用经费总额/预算安排公用经费总额）×100%。为100%的计2分，每超过1个百分点扣0.1分，扣完为止。</w:t>
            </w:r>
          </w:p>
        </w:tc>
      </w:tr>
      <w:tr>
        <w:tblPrEx>
          <w:tblCellMar>
            <w:top w:w="0" w:type="dxa"/>
            <w:left w:w="28" w:type="dxa"/>
            <w:bottom w:w="0" w:type="dxa"/>
            <w:right w:w="28" w:type="dxa"/>
          </w:tblCellMar>
        </w:tblPrEx>
        <w:trPr>
          <w:trHeight w:val="1090"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“三公经费”控制率（2分）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部门本年度“三公经费”实际支出数与预算安排数的比率，用以反映和考核部门对“三公经费”的实际控制程度。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“三公经费”控制率=（“三公经费”实际支出数/“三公经费”预算安排数）×100%。为100%的计2分，每超过1个百分点扣0.5分，扣完为止。</w:t>
            </w:r>
          </w:p>
        </w:tc>
      </w:tr>
      <w:tr>
        <w:tblPrEx>
          <w:tblCellMar>
            <w:top w:w="0" w:type="dxa"/>
            <w:left w:w="28" w:type="dxa"/>
            <w:bottom w:w="0" w:type="dxa"/>
            <w:right w:w="28" w:type="dxa"/>
          </w:tblCellMar>
        </w:tblPrEx>
        <w:trPr>
          <w:trHeight w:val="287" w:hRule="atLeast"/>
          <w:jc w:val="center"/>
        </w:trPr>
        <w:tc>
          <w:tcPr>
            <w:tcW w:w="4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政府采购执行率（4分）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部门本年度实际政府采购金额与年初政府采购预算的比率，用以反映和考核部门政府采购预算执行情况。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政府采购执行率=（实际政府采购金额/政府采购预算数）×100%，为100%的计2分，每低于1个百分点扣0.5分，扣完为止；政府采购预算：采购机关根据事业发展计划和行政任务编制的、并经过规定程序批准的年度政府采购计划。 </w:t>
            </w:r>
          </w:p>
        </w:tc>
      </w:tr>
      <w:tr>
        <w:tblPrEx>
          <w:tblCellMar>
            <w:top w:w="0" w:type="dxa"/>
            <w:left w:w="28" w:type="dxa"/>
            <w:bottom w:w="0" w:type="dxa"/>
            <w:right w:w="28" w:type="dxa"/>
          </w:tblCellMar>
        </w:tblPrEx>
        <w:trPr>
          <w:trHeight w:val="1391" w:hRule="atLeast"/>
          <w:jc w:val="center"/>
        </w:trPr>
        <w:tc>
          <w:tcPr>
            <w:tcW w:w="482" w:type="dxa"/>
            <w:vMerge w:val="restart"/>
            <w:tcBorders>
              <w:top w:val="single" w:color="auto" w:sz="4" w:space="0"/>
              <w:left w:val="single" w:color="auto" w:sz="4" w:space="0"/>
              <w:right w:val="single" w:color="auto" w:sz="4" w:space="0"/>
            </w:tcBorders>
            <w:textDirection w:val="tbRlV"/>
            <w:vAlign w:val="center"/>
          </w:tcPr>
          <w:p>
            <w:pPr>
              <w:ind w:left="113" w:right="113"/>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             程（30分）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预算</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管理制度健全性（2分）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部门为加强预算管理、规范财务行为而制定的管理制度是否健全完整，用以反映和考核部门预算管理制度对完成主要职责或促进事业发展的保障情况。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已制定或具有预算资金管理办法、内部财务管理制度、会计核算制度等管理制度计1分；相关管理制度合法、合规、完整计0.5分；相关管理制度得到有效执行计0.5分。</w:t>
            </w:r>
          </w:p>
        </w:tc>
      </w:tr>
      <w:tr>
        <w:tblPrEx>
          <w:tblCellMar>
            <w:top w:w="0" w:type="dxa"/>
            <w:left w:w="28" w:type="dxa"/>
            <w:bottom w:w="0" w:type="dxa"/>
            <w:right w:w="28" w:type="dxa"/>
          </w:tblCellMar>
        </w:tblPrEx>
        <w:trPr>
          <w:trHeight w:val="2001"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资金使用合规性（1分）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部门使用预算资金是否符合相关的预算财务管理制度的规定，用以反映和考核部门预算资金的规范运行情况。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tblPrEx>
          <w:tblCellMar>
            <w:top w:w="0" w:type="dxa"/>
            <w:left w:w="28" w:type="dxa"/>
            <w:bottom w:w="0" w:type="dxa"/>
            <w:right w:w="28" w:type="dxa"/>
          </w:tblCellMar>
        </w:tblPrEx>
        <w:trPr>
          <w:trHeight w:val="1391"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预决算信息公开性（1分）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部门是否按照政府信息公开有关规定公开相关预决算信息，用以反映和考核部门预决算管理的公开透明情况。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①按规定内容公开预决算信息计0.5分；②按规定时限公开预决算信息计0.5分。预决算信息是指与部门预算、执行、决算、监督、绩效等管理相关的信息。</w:t>
            </w:r>
          </w:p>
        </w:tc>
      </w:tr>
      <w:tr>
        <w:tblPrEx>
          <w:tblCellMar>
            <w:top w:w="0" w:type="dxa"/>
            <w:left w:w="28" w:type="dxa"/>
            <w:bottom w:w="0" w:type="dxa"/>
            <w:right w:w="28" w:type="dxa"/>
          </w:tblCellMar>
        </w:tblPrEx>
        <w:trPr>
          <w:trHeight w:val="1395" w:hRule="atLeast"/>
          <w:jc w:val="center"/>
        </w:trPr>
        <w:tc>
          <w:tcPr>
            <w:tcW w:w="482"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基础信息完善性（1分）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部门基础信息是否完善，用以反映和考核基础信息对预算管理工作的支撑情况。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①基础数据信息和会计信息资料真实计0.4分；②基础数据信息和会计信息资料完整计0.3分；③基础数据信息和会计信息资料准确计0.3分。</w:t>
            </w:r>
          </w:p>
        </w:tc>
      </w:tr>
      <w:tr>
        <w:tblPrEx>
          <w:tblCellMar>
            <w:top w:w="0" w:type="dxa"/>
            <w:left w:w="28" w:type="dxa"/>
            <w:bottom w:w="0" w:type="dxa"/>
            <w:right w:w="28" w:type="dxa"/>
          </w:tblCellMar>
        </w:tblPrEx>
        <w:trPr>
          <w:trHeight w:val="90" w:hRule="atLeast"/>
          <w:jc w:val="center"/>
        </w:trPr>
        <w:tc>
          <w:tcPr>
            <w:tcW w:w="482" w:type="dxa"/>
            <w:vMerge w:val="continue"/>
            <w:tcBorders>
              <w:left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p>
        </w:tc>
        <w:tc>
          <w:tcPr>
            <w:tcW w:w="635" w:type="dxa"/>
            <w:vMerge w:val="restart"/>
            <w:tcBorders>
              <w:top w:val="nil"/>
              <w:left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管理</w:t>
            </w:r>
          </w:p>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管理制度健全性（2分）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部门为加强资产管理、规范资产管理行为而制定的管理制度是否健全完整，用以反映和考核部门资产管理制度对完成主要职责或促进社会发展的保障情况。</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①制定或具有资产管理制度计1分；②相关资金管理制度合法、合规、完整计0.5分；③相关资产管理制度得到有效执行计0.5分。</w:t>
            </w:r>
          </w:p>
        </w:tc>
      </w:tr>
      <w:tr>
        <w:tblPrEx>
          <w:tblCellMar>
            <w:top w:w="0" w:type="dxa"/>
            <w:left w:w="28" w:type="dxa"/>
            <w:bottom w:w="0" w:type="dxa"/>
            <w:right w:w="28" w:type="dxa"/>
          </w:tblCellMar>
        </w:tblPrEx>
        <w:trPr>
          <w:trHeight w:val="1532" w:hRule="atLeast"/>
          <w:jc w:val="center"/>
        </w:trPr>
        <w:tc>
          <w:tcPr>
            <w:tcW w:w="482" w:type="dxa"/>
            <w:vMerge w:val="continue"/>
            <w:tcBorders>
              <w:left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资产管理安全性（2分）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761"/>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2</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761"/>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部门的资产是否保存完整、使用合规、配置合理、处置规范、收入及时足额上缴，用以反映和考核部门资产安全运行情况。</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①资产保存完整计0.4分；②资产配置合理计0.4分；③资产处置规范计0.4分；④资产账务管理合规、帐实相符计0.4分；⑤资产有偿使用及处置收入及时足额上缴计0.4分。</w:t>
            </w:r>
          </w:p>
        </w:tc>
      </w:tr>
      <w:tr>
        <w:tblPrEx>
          <w:tblCellMar>
            <w:top w:w="0" w:type="dxa"/>
            <w:left w:w="28" w:type="dxa"/>
            <w:bottom w:w="0" w:type="dxa"/>
            <w:right w:w="28" w:type="dxa"/>
          </w:tblCellMar>
        </w:tblPrEx>
        <w:trPr>
          <w:trHeight w:val="1110" w:hRule="atLeast"/>
          <w:jc w:val="center"/>
        </w:trPr>
        <w:tc>
          <w:tcPr>
            <w:tcW w:w="482"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固定资产利用率（1分）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w:t>
            </w:r>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部门实际在用固定资产总额与所有固定资产总额的比率，用以反映和考核部门固定资产使用效率程度。</w:t>
            </w:r>
          </w:p>
        </w:tc>
        <w:tc>
          <w:tcPr>
            <w:tcW w:w="3417"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固定资产利用率=（实际在用固定资产总额/所有固定资产总额）×100%。利用率为100%的计1分，每降1个百分点扣0.1分，扣完为止。</w:t>
            </w:r>
          </w:p>
        </w:tc>
      </w:tr>
      <w:tr>
        <w:tblPrEx>
          <w:tblCellMar>
            <w:top w:w="0" w:type="dxa"/>
            <w:left w:w="28" w:type="dxa"/>
            <w:bottom w:w="0" w:type="dxa"/>
            <w:right w:w="28" w:type="dxa"/>
          </w:tblCellMar>
        </w:tblPrEx>
        <w:trPr>
          <w:trHeight w:val="832"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   出（30分）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职责</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履行</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实际完成率（8分）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8</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部门履行职责而实际完成工作数与计划工作数的比率，用以反映和考核部门履职工作任务目标的实现程度。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实际完成率得分=完成市委市政府绩效考核得分或上级主管部门考核指标得分/指标分值*8分</w:t>
            </w:r>
          </w:p>
        </w:tc>
      </w:tr>
      <w:tr>
        <w:tblPrEx>
          <w:tblCellMar>
            <w:top w:w="0" w:type="dxa"/>
            <w:left w:w="28" w:type="dxa"/>
            <w:bottom w:w="0" w:type="dxa"/>
            <w:right w:w="28" w:type="dxa"/>
          </w:tblCellMar>
        </w:tblPrEx>
        <w:trPr>
          <w:trHeight w:val="109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完成及时率（4分）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4</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部门在规定时限内及时完成的实际工作数与计划工作数的比率,用以反映和考核部门履职时效目标的实现程度。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完成及时率=（及时完成实际工作数/计划工作数）×100%。1-4季度各得1分</w:t>
            </w:r>
            <w:r>
              <w:rPr>
                <w:rFonts w:hint="eastAsia" w:ascii="仿宋_GB2312" w:hAnsi="仿宋_GB2312" w:eastAsia="仿宋_GB2312" w:cs="仿宋_GB2312"/>
                <w:sz w:val="21"/>
                <w:szCs w:val="21"/>
              </w:rPr>
              <w:br w:type="textWrapping"/>
            </w:r>
          </w:p>
        </w:tc>
      </w:tr>
      <w:tr>
        <w:tblPrEx>
          <w:tblCellMar>
            <w:top w:w="0" w:type="dxa"/>
            <w:left w:w="28" w:type="dxa"/>
            <w:bottom w:w="0" w:type="dxa"/>
            <w:right w:w="28" w:type="dxa"/>
          </w:tblCellMar>
        </w:tblPrEx>
        <w:trPr>
          <w:trHeight w:val="36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质量达标率（8分）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8</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达到质量标准（绩效标准值）的实际工作数与计划工作数的比率,用以反映和考核部门履职质量目标的实现程度。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质量达标率=（质量达标实际工作数/计划工作数）×100%。实际得分=达标率*8分</w:t>
            </w:r>
          </w:p>
        </w:tc>
      </w:tr>
      <w:tr>
        <w:tblPrEx>
          <w:tblCellMar>
            <w:top w:w="0" w:type="dxa"/>
            <w:left w:w="28" w:type="dxa"/>
            <w:bottom w:w="0" w:type="dxa"/>
            <w:right w:w="28" w:type="dxa"/>
          </w:tblCellMar>
        </w:tblPrEx>
        <w:trPr>
          <w:trHeight w:val="1107"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重点工作办结率（10分）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10</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部门年度重点工作实际完成数与交办或下达数的比率，用以反映部门对重点工作的办理落实程度。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重点工作办结率=（重点工作实际完成数/交办或下达数）×100%。实际得分=办结率*10分</w:t>
            </w:r>
          </w:p>
        </w:tc>
      </w:tr>
      <w:tr>
        <w:tblPrEx>
          <w:tblCellMar>
            <w:top w:w="0" w:type="dxa"/>
            <w:left w:w="28" w:type="dxa"/>
            <w:bottom w:w="0" w:type="dxa"/>
            <w:right w:w="28" w:type="dxa"/>
          </w:tblCellMar>
        </w:tblPrEx>
        <w:trPr>
          <w:trHeight w:val="552" w:hRule="atLeast"/>
          <w:jc w:val="center"/>
        </w:trPr>
        <w:tc>
          <w:tcPr>
            <w:tcW w:w="482"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textDirection w:val="tbRlV"/>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效   果（20分）</w:t>
            </w:r>
          </w:p>
        </w:tc>
        <w:tc>
          <w:tcPr>
            <w:tcW w:w="635"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履职</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效益（20分）</w:t>
            </w: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经济效益（5分）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部门履行职责对经济发展所带来的直接或间接影响。</w:t>
            </w:r>
          </w:p>
        </w:tc>
        <w:tc>
          <w:tcPr>
            <w:tcW w:w="3417" w:type="dxa"/>
            <w:vMerge w:val="restart"/>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按经济效益实现程度计算得分（5分）；按社会效益实现程度计算得分（5分）；按生态效益实现程度计算得分（5分）</w:t>
            </w:r>
          </w:p>
        </w:tc>
      </w:tr>
      <w:tr>
        <w:tblPrEx>
          <w:tblCellMar>
            <w:top w:w="0" w:type="dxa"/>
            <w:left w:w="28" w:type="dxa"/>
            <w:bottom w:w="0" w:type="dxa"/>
            <w:right w:w="28" w:type="dxa"/>
          </w:tblCellMar>
        </w:tblPrEx>
        <w:trPr>
          <w:trHeight w:val="542"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社会效益（5分）</w:t>
            </w:r>
          </w:p>
        </w:tc>
        <w:tc>
          <w:tcPr>
            <w:tcW w:w="765" w:type="dxa"/>
            <w:tcBorders>
              <w:top w:val="single" w:color="auto" w:sz="4" w:space="0"/>
              <w:left w:val="nil"/>
              <w:bottom w:val="single" w:color="auto" w:sz="4" w:space="0"/>
              <w:right w:val="single" w:color="auto" w:sz="4" w:space="0"/>
            </w:tcBorders>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部门履行职责对社会发展所带来的直接或间接影响。</w:t>
            </w:r>
          </w:p>
        </w:tc>
        <w:tc>
          <w:tcPr>
            <w:tcW w:w="341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r>
      <w:tr>
        <w:tblPrEx>
          <w:tblCellMar>
            <w:top w:w="0" w:type="dxa"/>
            <w:left w:w="28" w:type="dxa"/>
            <w:bottom w:w="0" w:type="dxa"/>
            <w:right w:w="28" w:type="dxa"/>
          </w:tblCellMar>
        </w:tblPrEx>
        <w:trPr>
          <w:trHeight w:val="557"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生态效益（5分）</w:t>
            </w:r>
          </w:p>
        </w:tc>
        <w:tc>
          <w:tcPr>
            <w:tcW w:w="765" w:type="dxa"/>
            <w:tcBorders>
              <w:top w:val="single" w:color="auto" w:sz="4" w:space="0"/>
              <w:left w:val="nil"/>
              <w:bottom w:val="single" w:color="auto" w:sz="4" w:space="0"/>
              <w:right w:val="single" w:color="auto" w:sz="4" w:space="0"/>
            </w:tcBorders>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部门履行职责对生态环境所带来的直接或间接影响。</w:t>
            </w:r>
          </w:p>
        </w:tc>
        <w:tc>
          <w:tcPr>
            <w:tcW w:w="3417"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r>
      <w:tr>
        <w:tblPrEx>
          <w:tblCellMar>
            <w:top w:w="0" w:type="dxa"/>
            <w:left w:w="28" w:type="dxa"/>
            <w:bottom w:w="0" w:type="dxa"/>
            <w:right w:w="28" w:type="dxa"/>
          </w:tblCellMar>
        </w:tblPrEx>
        <w:trPr>
          <w:trHeight w:val="901" w:hRule="atLeast"/>
          <w:jc w:val="center"/>
        </w:trPr>
        <w:tc>
          <w:tcPr>
            <w:tcW w:w="482"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635" w:type="dxa"/>
            <w:vMerge w:val="continue"/>
            <w:tcBorders>
              <w:top w:val="nil"/>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p>
        </w:tc>
        <w:tc>
          <w:tcPr>
            <w:tcW w:w="1085" w:type="dxa"/>
            <w:tcBorders>
              <w:top w:val="nil"/>
              <w:left w:val="nil"/>
              <w:bottom w:val="single" w:color="auto" w:sz="4" w:space="0"/>
              <w:right w:val="single" w:color="auto" w:sz="4" w:space="0"/>
            </w:tcBorders>
            <w:tcMar>
              <w:top w:w="10" w:type="dxa"/>
              <w:left w:w="10" w:type="dxa"/>
              <w:bottom w:w="0" w:type="dxa"/>
              <w:right w:w="10" w:type="dxa"/>
            </w:tcMar>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社会公众或服务对象满意度（5分）</w:t>
            </w:r>
          </w:p>
        </w:tc>
        <w:tc>
          <w:tcPr>
            <w:tcW w:w="765" w:type="dxa"/>
            <w:tcBorders>
              <w:top w:val="single" w:color="auto" w:sz="4" w:space="0"/>
              <w:left w:val="nil"/>
              <w:bottom w:val="single" w:color="auto" w:sz="4" w:space="0"/>
              <w:right w:val="single" w:color="auto" w:sz="4" w:space="0"/>
            </w:tcBorders>
            <w:tcMar>
              <w:top w:w="10" w:type="dxa"/>
              <w:left w:w="10" w:type="dxa"/>
              <w:bottom w:w="0" w:type="dxa"/>
              <w:right w:w="10" w:type="dxa"/>
            </w:tcMar>
            <w:vAlign w:val="top"/>
          </w:tcPr>
          <w:p>
            <w:pPr>
              <w:tabs>
                <w:tab w:val="left" w:pos="2604"/>
              </w:tabs>
              <w:rPr>
                <w:rFonts w:hint="eastAsia"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5</w:t>
            </w:r>
          </w:p>
        </w:tc>
        <w:tc>
          <w:tcPr>
            <w:tcW w:w="2790" w:type="dxa"/>
            <w:tcBorders>
              <w:top w:val="nil"/>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社会公众或部门的服务对象对部门履职效果的满意程度。</w:t>
            </w:r>
          </w:p>
        </w:tc>
        <w:tc>
          <w:tcPr>
            <w:tcW w:w="3417" w:type="dxa"/>
            <w:tcBorders>
              <w:top w:val="nil"/>
              <w:left w:val="nil"/>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rPr>
              <w:t>按收集到的服务对象的满意率计算得分（5分）</w:t>
            </w:r>
          </w:p>
        </w:tc>
      </w:tr>
      <w:tr>
        <w:tblPrEx>
          <w:tblCellMar>
            <w:top w:w="0" w:type="dxa"/>
            <w:left w:w="28" w:type="dxa"/>
            <w:bottom w:w="0" w:type="dxa"/>
            <w:right w:w="28" w:type="dxa"/>
          </w:tblCellMar>
        </w:tblPrEx>
        <w:trPr>
          <w:trHeight w:val="1247" w:hRule="atLeast"/>
          <w:jc w:val="center"/>
        </w:trPr>
        <w:tc>
          <w:tcPr>
            <w:tcW w:w="2202"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1"/>
                <w:szCs w:val="21"/>
                <w:lang w:eastAsia="zh-CN"/>
              </w:rPr>
            </w:pPr>
            <w:r>
              <w:rPr>
                <w:rFonts w:hint="eastAsia" w:ascii="仿宋_GB2312" w:hAnsi="仿宋_GB2312" w:cs="仿宋_GB2312"/>
                <w:sz w:val="21"/>
                <w:szCs w:val="21"/>
                <w:lang w:eastAsia="zh-CN"/>
              </w:rPr>
              <w:t>合计</w:t>
            </w:r>
          </w:p>
        </w:tc>
        <w:tc>
          <w:tcPr>
            <w:tcW w:w="765"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top"/>
          </w:tcPr>
          <w:p>
            <w:pPr>
              <w:tabs>
                <w:tab w:val="left" w:pos="2604"/>
              </w:tabs>
              <w:rPr>
                <w:rFonts w:hint="default" w:ascii="仿宋_GB2312" w:hAnsi="仿宋_GB2312" w:eastAsia="仿宋_GB2312" w:cs="仿宋_GB2312"/>
                <w:sz w:val="21"/>
                <w:szCs w:val="21"/>
                <w:lang w:val="en-US" w:eastAsia="zh-CN"/>
              </w:rPr>
            </w:pPr>
            <w:r>
              <w:rPr>
                <w:rFonts w:hint="eastAsia" w:ascii="仿宋_GB2312" w:hAnsi="仿宋_GB2312" w:cs="仿宋_GB2312"/>
                <w:sz w:val="21"/>
                <w:szCs w:val="21"/>
                <w:lang w:val="en-US" w:eastAsia="zh-CN"/>
              </w:rPr>
              <w:t>99.5</w:t>
            </w:r>
            <w:bookmarkStart w:id="0" w:name="_GoBack"/>
            <w:bookmarkEnd w:id="0"/>
          </w:p>
        </w:tc>
        <w:tc>
          <w:tcPr>
            <w:tcW w:w="2790"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tabs>
                <w:tab w:val="left" w:pos="2604"/>
              </w:tabs>
              <w:rPr>
                <w:rFonts w:hint="eastAsia" w:ascii="仿宋_GB2312" w:hAnsi="仿宋_GB2312" w:eastAsia="仿宋_GB2312" w:cs="仿宋_GB2312"/>
                <w:sz w:val="21"/>
                <w:szCs w:val="21"/>
              </w:rPr>
            </w:pPr>
          </w:p>
        </w:tc>
        <w:tc>
          <w:tcPr>
            <w:tcW w:w="3417"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rPr>
                <w:rFonts w:hint="eastAsia" w:ascii="仿宋_GB2312" w:hAnsi="仿宋_GB2312" w:eastAsia="仿宋_GB2312" w:cs="仿宋_GB2312"/>
                <w:kern w:val="0"/>
                <w:sz w:val="21"/>
                <w:szCs w:val="21"/>
              </w:rPr>
            </w:pPr>
          </w:p>
        </w:tc>
      </w:tr>
    </w:tbl>
    <w:p>
      <w:pPr>
        <w:rPr>
          <w:rFonts w:hint="eastAsia" w:ascii="仿宋_GB2312" w:hAnsi="仿宋_GB2312" w:eastAsia="仿宋_GB2312" w:cs="仿宋_GB2312"/>
          <w:sz w:val="24"/>
          <w:szCs w:val="24"/>
        </w:rPr>
      </w:pPr>
    </w:p>
    <w:sectPr>
      <w:footerReference r:id="rId3" w:type="default"/>
      <w:pgSz w:w="11906" w:h="16838"/>
      <w:pgMar w:top="1723" w:right="1800" w:bottom="1723"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3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0F03D1"/>
    <w:rsid w:val="132E4195"/>
    <w:rsid w:val="24C02D77"/>
    <w:rsid w:val="45FD6295"/>
    <w:rsid w:val="4A1F22B8"/>
    <w:rsid w:val="6D321A9B"/>
    <w:rsid w:val="722E2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jyjcg</dc:creator>
  <cp:lastModifiedBy>李平</cp:lastModifiedBy>
  <dcterms:modified xsi:type="dcterms:W3CDTF">2021-03-23T06:47:28Z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614AA4C82E81445CA1346BF5D1BED1CF</vt:lpwstr>
  </property>
</Properties>
</file>