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华文中宋"/>
          <w:bCs/>
          <w:szCs w:val="32"/>
        </w:rPr>
      </w:pPr>
      <w:r>
        <w:rPr>
          <w:rFonts w:hint="eastAsia" w:ascii="仿宋_GB2312" w:hAnsi="华文中宋"/>
          <w:bCs/>
          <w:szCs w:val="32"/>
        </w:rPr>
        <w:t>附件</w:t>
      </w:r>
      <w:r>
        <w:rPr>
          <w:rFonts w:hint="eastAsia" w:ascii="仿宋_GB2312" w:hAnsi="华文中宋"/>
          <w:bCs/>
          <w:szCs w:val="32"/>
          <w:lang w:val="en-US" w:eastAsia="zh-CN"/>
        </w:rPr>
        <w:t>5</w:t>
      </w:r>
      <w:r>
        <w:rPr>
          <w:rFonts w:hint="eastAsia" w:ascii="仿宋_GB2312" w:hAnsi="华文中宋"/>
          <w:bCs/>
          <w:szCs w:val="32"/>
        </w:rPr>
        <w:t>:</w:t>
      </w:r>
    </w:p>
    <w:p>
      <w:pPr>
        <w:rPr>
          <w:rFonts w:ascii="黑体" w:eastAsia="黑体"/>
          <w:szCs w:val="3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孵化中心租赁及基础装修项目支出</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ascii="仿宋_GB2312" w:hAnsi="仿宋_GB2312" w:cs="仿宋_GB2312"/>
          <w:szCs w:val="32"/>
        </w:rPr>
      </w:pPr>
      <w:r>
        <w:rPr>
          <w:rFonts w:hint="eastAsia" w:ascii="仿宋_GB2312" w:hAnsi="仿宋_GB2312" w:cs="仿宋_GB2312"/>
          <w:szCs w:val="32"/>
        </w:rPr>
        <w:t>昆明呈贡科技信息产业创新孵化中心项目位于呈贡大学城与高新区马金铺片区交界处的昆明呈贡信息产业园区内，占地面积约57亩，总建筑面积约72826.6㎡。主要包括科技创新孵化、研发办公、推广应用中心、综合管理、新成果展示、后勤保障等区域。</w:t>
      </w:r>
    </w:p>
    <w:p>
      <w:pPr>
        <w:ind w:firstLine="594" w:firstLineChars="200"/>
        <w:rPr>
          <w:rFonts w:ascii="仿宋_GB2312" w:hAnsi="仿宋_GB2312" w:cs="仿宋_GB2312"/>
          <w:szCs w:val="32"/>
        </w:rPr>
      </w:pPr>
      <w:bookmarkStart w:id="0" w:name="_Toc30514894"/>
      <w:r>
        <w:rPr>
          <w:rFonts w:hint="eastAsia" w:ascii="仿宋_GB2312" w:hAnsi="仿宋_GB2312" w:cs="仿宋_GB2312"/>
          <w:szCs w:val="32"/>
        </w:rPr>
        <w:t>昆明呈贡科技创新孵化中心A座研发办公楼已出租可使用办公面积28400㎡，占总面积34580㎡的82.1%，其中装修面积24405㎡。目前已签约企业64家，3家正在开展办公场地装修工作，24家已入驻办公，其余10家已移交办公场地，预计12月内可以入驻，共计37家企业签订《入驻协议》。27家挂证企业暂不需要提供办公空间。</w:t>
      </w:r>
    </w:p>
    <w:p>
      <w:pPr>
        <w:keepNext/>
        <w:keepLines/>
        <w:numPr>
          <w:ilvl w:val="0"/>
          <w:numId w:val="1"/>
        </w:numPr>
        <w:spacing w:line="560" w:lineRule="exact"/>
        <w:ind w:firstLine="594" w:firstLineChars="200"/>
        <w:jc w:val="left"/>
        <w:outlineLvl w:val="1"/>
        <w:rPr>
          <w:rFonts w:ascii="仿宋_GB2312" w:eastAsia="楷体" w:hAnsiTheme="majorHAnsi" w:cstheme="majorBidi"/>
          <w:bCs/>
          <w:szCs w:val="32"/>
        </w:rPr>
      </w:pPr>
      <w:r>
        <w:rPr>
          <w:rFonts w:hint="eastAsia" w:ascii="仿宋_GB2312" w:eastAsia="楷体" w:hAnsiTheme="majorHAnsi" w:cstheme="majorBidi"/>
          <w:bCs/>
          <w:szCs w:val="32"/>
        </w:rPr>
        <w:t>项目绩效目标。</w:t>
      </w:r>
    </w:p>
    <w:bookmarkEnd w:id="0"/>
    <w:p>
      <w:pPr>
        <w:ind w:firstLine="446" w:firstLineChars="150"/>
        <w:rPr>
          <w:rFonts w:ascii="仿宋_GB2312" w:hAnsi="仿宋_GB2312" w:cs="仿宋_GB2312"/>
          <w:szCs w:val="32"/>
        </w:rPr>
      </w:pPr>
      <w:r>
        <w:rPr>
          <w:rFonts w:hint="eastAsia" w:ascii="仿宋_GB2312" w:hAnsi="仿宋_GB2312" w:cs="仿宋_GB2312"/>
          <w:szCs w:val="32"/>
        </w:rPr>
        <w:t>平均每年引入企业约50家，每年形成年税收约达到5000万</w:t>
      </w:r>
    </w:p>
    <w:p>
      <w:pPr>
        <w:rPr>
          <w:rFonts w:ascii="仿宋_GB2312" w:hAnsi="仿宋_GB2312" w:cs="仿宋_GB2312"/>
          <w:szCs w:val="32"/>
        </w:rPr>
      </w:pPr>
      <w:r>
        <w:rPr>
          <w:rFonts w:hint="eastAsia" w:ascii="仿宋_GB2312" w:hAnsi="仿宋_GB2312" w:cs="仿宋_GB2312"/>
          <w:szCs w:val="32"/>
        </w:rPr>
        <w:t>元。</w:t>
      </w:r>
    </w:p>
    <w:p>
      <w:pPr>
        <w:ind w:left="594" w:leftChars="200"/>
        <w:rPr>
          <w:rFonts w:ascii="黑体" w:hAnsi="黑体" w:eastAsia="黑体" w:cs="黑体"/>
          <w:bCs/>
          <w:szCs w:val="32"/>
        </w:rPr>
      </w:pPr>
      <w:r>
        <w:rPr>
          <w:rFonts w:hint="eastAsia" w:ascii="黑体" w:hAnsi="黑体" w:eastAsia="黑体" w:cs="黑体"/>
          <w:bCs/>
          <w:szCs w:val="32"/>
        </w:rPr>
        <w:t>二、项目单位绩效报告情况。</w:t>
      </w:r>
    </w:p>
    <w:p>
      <w:pPr>
        <w:spacing w:line="560" w:lineRule="exact"/>
        <w:ind w:firstLine="594" w:firstLineChars="200"/>
        <w:rPr>
          <w:rFonts w:hint="eastAsia" w:ascii="仿宋_GB2312" w:hAnsi="仿宋_GB2312" w:cs="仿宋_GB2312"/>
          <w:szCs w:val="32"/>
        </w:rPr>
      </w:pPr>
      <w:r>
        <w:rPr>
          <w:rFonts w:hint="eastAsia" w:ascii="仿宋_GB2312" w:hAnsi="仿宋_GB2312" w:cs="仿宋_GB2312"/>
          <w:szCs w:val="32"/>
        </w:rPr>
        <w:t>该项目实施单位为</w:t>
      </w:r>
      <w:r>
        <w:rPr>
          <w:rFonts w:hint="eastAsia" w:ascii="仿宋_GB2312" w:hAnsi="Times New Roman" w:cs="Times New Roman"/>
          <w:szCs w:val="32"/>
        </w:rPr>
        <w:t>昆明市智慧城市建设投资有限公司</w:t>
      </w:r>
      <w:r>
        <w:rPr>
          <w:rFonts w:hint="eastAsia" w:ascii="仿宋_GB2312" w:hAnsi="仿宋_GB2312" w:cs="仿宋_GB2312"/>
          <w:szCs w:val="32"/>
        </w:rPr>
        <w:t>，已按要求开展了绩效自评并按时报送了绩效自评报告和绩效自评指标评分表。</w:t>
      </w:r>
    </w:p>
    <w:p>
      <w:pPr>
        <w:spacing w:line="560" w:lineRule="exact"/>
        <w:ind w:firstLine="594" w:firstLineChars="200"/>
        <w:rPr>
          <w:rFonts w:ascii="黑体" w:hAnsi="黑体" w:eastAsia="黑体" w:cs="黑体"/>
          <w:b/>
          <w:szCs w:val="32"/>
        </w:rPr>
      </w:pPr>
      <w:r>
        <w:rPr>
          <w:rFonts w:hint="eastAsia" w:ascii="黑体" w:hAnsi="黑体" w:eastAsia="黑体" w:cs="黑体"/>
          <w:b/>
          <w:szCs w:val="32"/>
        </w:rPr>
        <w:t>三、绩效评价工作情况</w:t>
      </w:r>
    </w:p>
    <w:p>
      <w:pPr>
        <w:spacing w:line="560" w:lineRule="exact"/>
        <w:ind w:firstLine="594" w:firstLineChars="200"/>
        <w:rPr>
          <w:rFonts w:ascii="楷体" w:hAnsi="楷体" w:eastAsia="楷体" w:cs="楷体"/>
          <w:szCs w:val="32"/>
        </w:rPr>
      </w:pPr>
      <w:r>
        <w:rPr>
          <w:rFonts w:hint="eastAsia" w:ascii="楷体" w:hAnsi="楷体" w:eastAsia="楷体" w:cs="楷体"/>
          <w:szCs w:val="32"/>
        </w:rPr>
        <w:t>（一）绩效评价目的</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完善专项资金的管理机制，建立以绩效目标为基础，以绩效运行跟踪监控和绩效评价为手段，以结果应用为保障，以改进预算管理、优化资源配置、控制节约成本为目标，管理科学、运转高效的全过程预算绩效管理体系。</w:t>
      </w:r>
    </w:p>
    <w:p>
      <w:pPr>
        <w:numPr>
          <w:ilvl w:val="0"/>
          <w:numId w:val="2"/>
        </w:numPr>
        <w:spacing w:line="560" w:lineRule="exact"/>
        <w:ind w:firstLine="594" w:firstLineChars="200"/>
        <w:rPr>
          <w:rFonts w:ascii="楷体" w:hAnsi="楷体" w:eastAsia="楷体" w:cs="楷体"/>
          <w:szCs w:val="32"/>
        </w:rPr>
      </w:pPr>
      <w:r>
        <w:rPr>
          <w:rFonts w:hint="eastAsia" w:ascii="楷体" w:hAnsi="楷体" w:eastAsia="楷体" w:cs="楷体"/>
          <w:szCs w:val="32"/>
        </w:rPr>
        <w:t>绩效评价原则、评价指标体系、评价方法</w:t>
      </w:r>
    </w:p>
    <w:p>
      <w:pPr>
        <w:spacing w:line="560" w:lineRule="exact"/>
        <w:ind w:firstLine="594" w:firstLineChars="200"/>
        <w:rPr>
          <w:rFonts w:ascii="仿宋_GB2312" w:hAnsi="Times New Roman" w:cs="Times New Roman"/>
          <w:szCs w:val="32"/>
        </w:rPr>
      </w:pPr>
      <w:r>
        <w:rPr>
          <w:rFonts w:ascii="仿宋_GB2312" w:hAnsi="Times New Roman" w:cs="Times New Roman"/>
          <w:szCs w:val="32"/>
        </w:rPr>
        <w:t>绩效评价遵循科学规范、公正公开、分级分类、绩效相关的原则，我单位建立了完整、科学合理的评价指标体系：既有包含预算编制和执行情况、财务管理状况、社会效益及经济效益的共性指标，也有适用于本单位具体项目的个性指标。采用的绩效评价方法为现场核查、实地走访、问询等方式，进行实地考评。</w:t>
      </w:r>
    </w:p>
    <w:p>
      <w:pPr>
        <w:spacing w:line="560" w:lineRule="exact"/>
        <w:ind w:firstLine="594" w:firstLineChars="200"/>
        <w:rPr>
          <w:rFonts w:ascii="楷体" w:hAnsi="楷体" w:eastAsia="楷体" w:cs="楷体"/>
          <w:szCs w:val="32"/>
        </w:rPr>
      </w:pPr>
      <w:r>
        <w:rPr>
          <w:rFonts w:hint="eastAsia" w:ascii="楷体" w:hAnsi="楷体" w:eastAsia="楷体" w:cs="楷体"/>
          <w:szCs w:val="32"/>
        </w:rPr>
        <w:t>（三）绩效评价工作过程</w:t>
      </w:r>
    </w:p>
    <w:p>
      <w:pPr>
        <w:spacing w:line="560" w:lineRule="exact"/>
        <w:ind w:firstLine="594" w:firstLineChars="200"/>
        <w:rPr>
          <w:rFonts w:ascii="仿宋_GB2312" w:hAnsi="Times New Roman" w:cs="Times New Roman"/>
          <w:szCs w:val="32"/>
        </w:rPr>
      </w:pPr>
      <w:r>
        <w:rPr>
          <w:rFonts w:ascii="仿宋_GB2312" w:hAnsi="Times New Roman" w:cs="Times New Roman"/>
          <w:szCs w:val="32"/>
        </w:rPr>
        <w:t>1.</w:t>
      </w:r>
      <w:r>
        <w:rPr>
          <w:rFonts w:hint="eastAsia" w:ascii="仿宋_GB2312" w:hAnsi="Times New Roman" w:cs="Times New Roman"/>
          <w:szCs w:val="32"/>
        </w:rPr>
        <w:t>前期准备</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按照绩效自评工作要求，</w:t>
      </w:r>
      <w:r>
        <w:rPr>
          <w:rFonts w:hint="eastAsia" w:ascii="仿宋_GB2312" w:hAnsi="Times New Roman" w:cs="Times New Roman"/>
          <w:szCs w:val="32"/>
          <w:lang w:eastAsia="zh-CN"/>
        </w:rPr>
        <w:t>园区管委会</w:t>
      </w:r>
      <w:r>
        <w:rPr>
          <w:rFonts w:hint="eastAsia" w:ascii="仿宋_GB2312" w:hAnsi="Times New Roman" w:cs="Times New Roman"/>
          <w:szCs w:val="32"/>
        </w:rPr>
        <w:t>组成以分管财务副主任为组长，各部办负责人为成员的绩效评价工作小组，根据各项目具体情况制定了项目支出绩效评价实施方案。</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2.组织实施</w:t>
      </w:r>
    </w:p>
    <w:p>
      <w:pPr>
        <w:spacing w:line="560" w:lineRule="exact"/>
        <w:ind w:firstLine="594" w:firstLineChars="200"/>
        <w:rPr>
          <w:rFonts w:ascii="仿宋_GB2312" w:hAnsi="Times New Roman" w:cs="Times New Roman"/>
          <w:szCs w:val="32"/>
        </w:rPr>
      </w:pPr>
      <w:r>
        <w:rPr>
          <w:rFonts w:hint="eastAsia" w:ascii="仿宋_GB2312" w:hAnsi="仿宋_GB2312" w:cs="仿宋_GB2312"/>
          <w:szCs w:val="32"/>
        </w:rPr>
        <w:t>采用核查法核查2020年财政预算批复执行及项目支出情况，着重核查了重点项目管理、内部控制建设管理情况，对园区各内设机构及项目实施单位，根据各自职能职责和年初制定的绩效考核目标，进行了实地绩效考评。</w:t>
      </w:r>
    </w:p>
    <w:p>
      <w:pPr>
        <w:spacing w:line="560" w:lineRule="exact"/>
        <w:ind w:firstLine="594" w:firstLineChars="200"/>
        <w:rPr>
          <w:rFonts w:ascii="仿宋_GB2312" w:hAnsi="Times New Roman" w:cs="Times New Roman"/>
          <w:szCs w:val="32"/>
        </w:rPr>
      </w:pPr>
      <w:r>
        <w:rPr>
          <w:rFonts w:hint="eastAsia" w:ascii="仿宋_GB2312" w:hAnsi="Times New Roman" w:cs="Times New Roman"/>
          <w:szCs w:val="32"/>
        </w:rPr>
        <w:t>3.分析评价</w:t>
      </w:r>
    </w:p>
    <w:p>
      <w:pPr>
        <w:spacing w:line="560" w:lineRule="exact"/>
        <w:ind w:firstLine="594" w:firstLineChars="200"/>
        <w:rPr>
          <w:rFonts w:ascii="Times New Roman" w:hAnsi="Times New Roman" w:eastAsia="黑体" w:cs="Times New Roman"/>
          <w:szCs w:val="32"/>
        </w:rPr>
      </w:pPr>
      <w:r>
        <w:rPr>
          <w:rFonts w:hint="eastAsia" w:ascii="仿宋_GB2312" w:hAnsi="仿宋_GB2312" w:cs="仿宋_GB2312"/>
          <w:szCs w:val="32"/>
        </w:rPr>
        <w:t>对评价过程中收集资料进行归纳，汇总分析，依据设定的项目支出绩效评价指标体系进行了评分，形成了综合性书面报告及评分表。</w:t>
      </w:r>
    </w:p>
    <w:p>
      <w:pPr>
        <w:ind w:firstLine="594" w:firstLineChars="200"/>
        <w:rPr>
          <w:rFonts w:ascii="仿宋_GB2312"/>
          <w:b/>
          <w:szCs w:val="32"/>
        </w:rPr>
      </w:pPr>
      <w:r>
        <w:rPr>
          <w:rFonts w:hint="eastAsia" w:ascii="仿宋_GB2312"/>
          <w:b/>
          <w:szCs w:val="32"/>
        </w:rPr>
        <w:t>四、绩效评价指标分析情况</w:t>
      </w:r>
    </w:p>
    <w:p>
      <w:pPr>
        <w:spacing w:line="560" w:lineRule="exact"/>
        <w:ind w:firstLine="594" w:firstLineChars="200"/>
        <w:outlineLvl w:val="0"/>
        <w:rPr>
          <w:rFonts w:ascii="Times New Roman" w:hAnsi="Times New Roman" w:eastAsia="黑体" w:cs="Times New Roman"/>
          <w:szCs w:val="32"/>
        </w:rPr>
      </w:pPr>
      <w:r>
        <w:rPr>
          <w:rFonts w:hint="eastAsia" w:ascii="楷体" w:hAnsi="楷体" w:eastAsia="楷体" w:cs="楷体"/>
          <w:szCs w:val="32"/>
        </w:rPr>
        <w:t>（一）项目资金情况分析</w:t>
      </w:r>
    </w:p>
    <w:p>
      <w:pPr>
        <w:ind w:firstLine="594" w:firstLineChars="200"/>
        <w:rPr>
          <w:rFonts w:ascii="Times New Roman" w:hAnsi="Times New Roman" w:cs="Times New Roman"/>
          <w:szCs w:val="32"/>
        </w:rPr>
      </w:pPr>
      <w:r>
        <w:rPr>
          <w:rFonts w:ascii="Times New Roman" w:hAnsi="Times New Roman" w:cs="Times New Roman"/>
          <w:szCs w:val="32"/>
        </w:rPr>
        <w:t>我单位已足额拨付了该项目</w:t>
      </w:r>
      <w:r>
        <w:rPr>
          <w:rFonts w:hint="eastAsia" w:ascii="Times New Roman" w:hAnsi="Times New Roman" w:cs="Times New Roman"/>
          <w:szCs w:val="32"/>
        </w:rPr>
        <w:t>装修</w:t>
      </w:r>
      <w:r>
        <w:rPr>
          <w:rFonts w:ascii="Times New Roman" w:hAnsi="Times New Roman" w:cs="Times New Roman"/>
          <w:szCs w:val="32"/>
        </w:rPr>
        <w:t>资金</w:t>
      </w:r>
      <w:r>
        <w:rPr>
          <w:rFonts w:hint="eastAsia" w:ascii="仿宋_GB2312" w:hAnsi="仿宋_GB2312" w:cs="仿宋_GB2312"/>
          <w:szCs w:val="32"/>
        </w:rPr>
        <w:t>1388.21</w:t>
      </w:r>
      <w:r>
        <w:rPr>
          <w:rFonts w:ascii="Times New Roman" w:hAnsi="Times New Roman" w:cs="Times New Roman"/>
          <w:szCs w:val="32"/>
        </w:rPr>
        <w:t>万元至</w:t>
      </w:r>
      <w:r>
        <w:rPr>
          <w:rFonts w:hint="eastAsia" w:ascii="Times New Roman" w:hAnsi="Times New Roman" w:cs="Times New Roman"/>
          <w:szCs w:val="32"/>
        </w:rPr>
        <w:t>昆明市智慧城市建设投资</w:t>
      </w:r>
      <w:r>
        <w:rPr>
          <w:rFonts w:ascii="Times New Roman" w:hAnsi="Times New Roman" w:cs="Times New Roman"/>
          <w:szCs w:val="32"/>
        </w:rPr>
        <w:t>有限公司，</w:t>
      </w:r>
      <w:r>
        <w:rPr>
          <w:rFonts w:hint="eastAsia" w:ascii="Times New Roman" w:hAnsi="Times New Roman" w:cs="Times New Roman"/>
          <w:szCs w:val="32"/>
        </w:rPr>
        <w:t>租金950.4万元至云南云上云大数据产业发展有限公司，</w:t>
      </w:r>
      <w:r>
        <w:rPr>
          <w:rFonts w:ascii="Times New Roman" w:hAnsi="Times New Roman" w:cs="Times New Roman"/>
          <w:szCs w:val="32"/>
        </w:rPr>
        <w:t>无滞留、挤占、挪用等违法乱纪情况，资金到位率100%。</w:t>
      </w:r>
    </w:p>
    <w:p>
      <w:pPr>
        <w:spacing w:line="560" w:lineRule="exact"/>
        <w:ind w:firstLine="594" w:firstLineChars="200"/>
        <w:outlineLvl w:val="0"/>
        <w:rPr>
          <w:rFonts w:ascii="Times New Roman" w:hAnsi="Times New Roman" w:cs="Times New Roman"/>
          <w:szCs w:val="32"/>
        </w:rPr>
      </w:pPr>
      <w:r>
        <w:rPr>
          <w:rFonts w:hint="eastAsia" w:ascii="Times New Roman" w:hAnsi="Times New Roman" w:cs="Times New Roman"/>
          <w:szCs w:val="32"/>
        </w:rPr>
        <w:t>昆明市智慧城市建设投资</w:t>
      </w:r>
      <w:r>
        <w:rPr>
          <w:rFonts w:ascii="Times New Roman" w:hAnsi="Times New Roman" w:cs="Times New Roman"/>
          <w:szCs w:val="32"/>
        </w:rPr>
        <w:t>有限公司</w:t>
      </w:r>
      <w:r>
        <w:rPr>
          <w:rFonts w:hint="eastAsia" w:ascii="Times New Roman" w:hAnsi="Times New Roman" w:cs="Times New Roman"/>
          <w:szCs w:val="32"/>
        </w:rPr>
        <w:t>及至云南云上云大数据产业发展有限公司</w:t>
      </w:r>
      <w:r>
        <w:rPr>
          <w:rFonts w:ascii="Times New Roman" w:hAnsi="Times New Roman" w:cs="Times New Roman"/>
          <w:szCs w:val="32"/>
        </w:rPr>
        <w:t>专款专用于</w:t>
      </w:r>
      <w:r>
        <w:rPr>
          <w:rFonts w:hint="eastAsia" w:ascii="Times New Roman" w:hAnsi="Times New Roman" w:cs="Times New Roman"/>
          <w:szCs w:val="32"/>
        </w:rPr>
        <w:t>孵化中心租赁及基础装修项目</w:t>
      </w:r>
      <w:r>
        <w:rPr>
          <w:rFonts w:ascii="Times New Roman" w:hAnsi="Times New Roman" w:cs="Times New Roman"/>
          <w:szCs w:val="32"/>
        </w:rPr>
        <w:t>，对该项目资金的拨付有完整的审批程序和手续，项目的重大开支均经过集体决策审批。该项目实施过程中，除执行国家和地方相关法律、法规和制度外，根据需要制定了相关资金管理办法，且制度执行严格，项目会计核算规范。</w:t>
      </w:r>
    </w:p>
    <w:p>
      <w:pPr>
        <w:spacing w:line="560" w:lineRule="exact"/>
        <w:ind w:firstLine="594" w:firstLineChars="200"/>
        <w:outlineLvl w:val="0"/>
        <w:rPr>
          <w:rFonts w:ascii="楷体_GB2312" w:hAnsi="楷体_GB2312" w:eastAsia="楷体_GB2312" w:cs="楷体_GB2312"/>
          <w:szCs w:val="32"/>
        </w:rPr>
      </w:pPr>
      <w:r>
        <w:rPr>
          <w:rFonts w:hint="eastAsia" w:ascii="楷体_GB2312" w:hAnsi="楷体_GB2312" w:eastAsia="楷体_GB2312" w:cs="楷体_GB2312"/>
          <w:szCs w:val="32"/>
        </w:rPr>
        <w:t>（二）项目实施情况分析。</w:t>
      </w:r>
    </w:p>
    <w:p>
      <w:pPr>
        <w:ind w:firstLine="594" w:firstLineChars="200"/>
        <w:rPr>
          <w:rFonts w:ascii="仿宋_GB2312" w:hAnsi="仿宋_GB2312" w:cs="仿宋_GB2312"/>
          <w:szCs w:val="32"/>
        </w:rPr>
      </w:pPr>
      <w:r>
        <w:rPr>
          <w:rFonts w:hint="eastAsia" w:ascii="仿宋_GB2312" w:hAnsi="仿宋_GB2312" w:cs="仿宋_GB2312"/>
          <w:szCs w:val="32"/>
        </w:rPr>
        <w:t>与入驻企业签订入驻协议，待协议签订后开展场地装修工作，现已完成场地装修工作并完成移交共计18家。</w:t>
      </w:r>
    </w:p>
    <w:p>
      <w:pPr>
        <w:topLinePunct/>
        <w:spacing w:line="600" w:lineRule="exact"/>
        <w:ind w:firstLine="593"/>
        <w:rPr>
          <w:rFonts w:ascii="仿宋_GB2312" w:hAnsi="仿宋_GB2312" w:cs="仿宋_GB2312"/>
          <w:szCs w:val="32"/>
        </w:rPr>
      </w:pPr>
      <w:r>
        <w:rPr>
          <w:rFonts w:hint="eastAsia" w:ascii="仿宋_GB2312" w:hAnsi="仿宋_GB2312" w:cs="仿宋_GB2312"/>
          <w:szCs w:val="32"/>
        </w:rPr>
        <w:t>项目依法依规完成相关单位招标选聘工作，保质保量完成工程建设任务，并移交入驻企业使用。</w:t>
      </w:r>
    </w:p>
    <w:p>
      <w:pPr>
        <w:ind w:firstLine="594" w:firstLineChars="200"/>
        <w:rPr>
          <w:rFonts w:ascii="仿宋_GB2312" w:hAnsi="仿宋_GB2312" w:cs="仿宋_GB2312"/>
          <w:szCs w:val="32"/>
        </w:rPr>
      </w:pPr>
      <w:r>
        <w:rPr>
          <w:rFonts w:hint="eastAsia" w:ascii="仿宋_GB2312" w:hAnsi="仿宋_GB2312" w:cs="仿宋_GB2312"/>
          <w:szCs w:val="32"/>
        </w:rPr>
        <w:t>按照相关工程建筑管理规范，造价、监理全过程介入，安排专人定期不定期对施工现场进行巡查，若存在问题，及时发现及时整改，确保项目施工顺利完成。</w:t>
      </w:r>
    </w:p>
    <w:p>
      <w:pPr>
        <w:topLinePunct/>
        <w:spacing w:line="600" w:lineRule="exact"/>
        <w:ind w:firstLine="593"/>
        <w:rPr>
          <w:rFonts w:ascii="仿宋_GB2312" w:hAnsi="仿宋_GB2312" w:cs="仿宋_GB2312"/>
          <w:szCs w:val="32"/>
        </w:rPr>
      </w:pPr>
    </w:p>
    <w:p>
      <w:pPr>
        <w:numPr>
          <w:ilvl w:val="0"/>
          <w:numId w:val="2"/>
        </w:numPr>
        <w:spacing w:line="560" w:lineRule="exact"/>
        <w:ind w:firstLine="594" w:firstLineChars="200"/>
        <w:outlineLvl w:val="0"/>
        <w:rPr>
          <w:rFonts w:ascii="仿宋_GB2312"/>
          <w:szCs w:val="32"/>
        </w:rPr>
      </w:pPr>
      <w:r>
        <w:rPr>
          <w:rFonts w:hint="eastAsia" w:ascii="楷体" w:hAnsi="楷体" w:eastAsia="楷体" w:cs="楷体"/>
          <w:szCs w:val="32"/>
        </w:rPr>
        <w:t>项目绩效情况分析</w:t>
      </w:r>
    </w:p>
    <w:p>
      <w:pPr>
        <w:topLinePunct/>
        <w:spacing w:line="600" w:lineRule="exact"/>
        <w:ind w:firstLine="594" w:firstLineChars="200"/>
        <w:rPr>
          <w:rFonts w:ascii="仿宋_GB2312" w:hAnsi="仿宋_GB2312" w:cs="仿宋_GB2312"/>
          <w:szCs w:val="32"/>
        </w:rPr>
      </w:pPr>
      <w:r>
        <w:rPr>
          <w:rFonts w:hint="eastAsia" w:ascii="仿宋_GB2312" w:hAnsi="仿宋_GB2312" w:cs="仿宋_GB2312"/>
          <w:szCs w:val="32"/>
        </w:rPr>
        <w:t>1.项目经济性分析</w:t>
      </w:r>
    </w:p>
    <w:p>
      <w:pPr>
        <w:topLinePunct/>
        <w:spacing w:line="600" w:lineRule="exact"/>
        <w:ind w:firstLine="594" w:firstLineChars="200"/>
        <w:rPr>
          <w:rFonts w:ascii="仿宋_GB2312" w:hAnsi="仿宋_GB2312" w:cs="仿宋_GB2312"/>
          <w:szCs w:val="32"/>
        </w:rPr>
      </w:pPr>
      <w:r>
        <w:rPr>
          <w:rFonts w:hint="eastAsia" w:ascii="仿宋_GB2312" w:hAnsi="仿宋_GB2312" w:cs="仿宋_GB2312"/>
          <w:szCs w:val="32"/>
        </w:rPr>
        <w:t>装修公司采用公开招标的方式选择施工单位。项目施工本着勤俭节约的原则对成本进行控制。</w:t>
      </w:r>
    </w:p>
    <w:p>
      <w:pPr>
        <w:topLinePunct/>
        <w:spacing w:line="600" w:lineRule="exact"/>
        <w:ind w:left="594" w:leftChars="200"/>
        <w:rPr>
          <w:rFonts w:ascii="仿宋_GB2312" w:hAnsi="仿宋_GB2312" w:cs="仿宋_GB2312"/>
          <w:szCs w:val="32"/>
        </w:rPr>
      </w:pPr>
      <w:r>
        <w:rPr>
          <w:rFonts w:hint="eastAsia" w:ascii="仿宋_GB2312" w:hAnsi="仿宋_GB2312" w:cs="仿宋_GB2312"/>
          <w:szCs w:val="32"/>
        </w:rPr>
        <w:t>2.项目效率性分析</w:t>
      </w:r>
    </w:p>
    <w:p>
      <w:pPr>
        <w:topLinePunct/>
        <w:spacing w:line="600" w:lineRule="exact"/>
        <w:ind w:firstLine="594" w:firstLineChars="200"/>
        <w:rPr>
          <w:rFonts w:ascii="仿宋_GB2312" w:hAnsi="仿宋_GB2312" w:cs="仿宋_GB2312"/>
          <w:szCs w:val="32"/>
        </w:rPr>
      </w:pPr>
      <w:r>
        <w:rPr>
          <w:rFonts w:hint="eastAsia" w:ascii="仿宋_GB2312" w:hAnsi="仿宋_GB2312" w:cs="仿宋_GB2312"/>
          <w:szCs w:val="32"/>
        </w:rPr>
        <w:t>项目按照施工计划已完成建设工作，施工质量符合相关规定。</w:t>
      </w:r>
    </w:p>
    <w:p>
      <w:pPr>
        <w:topLinePunct/>
        <w:spacing w:line="600" w:lineRule="exact"/>
        <w:ind w:left="594" w:leftChars="200"/>
        <w:rPr>
          <w:rFonts w:ascii="仿宋_GB2312" w:hAnsi="仿宋_GB2312" w:cs="仿宋_GB2312"/>
          <w:szCs w:val="32"/>
        </w:rPr>
      </w:pPr>
      <w:r>
        <w:rPr>
          <w:rFonts w:hint="eastAsia" w:ascii="仿宋_GB2312" w:hAnsi="仿宋_GB2312" w:cs="仿宋_GB2312"/>
          <w:szCs w:val="32"/>
        </w:rPr>
        <w:t>3.项目有效性分析</w:t>
      </w:r>
    </w:p>
    <w:p>
      <w:pPr>
        <w:topLinePunct/>
        <w:spacing w:line="600" w:lineRule="exact"/>
        <w:ind w:firstLine="594" w:firstLineChars="200"/>
        <w:rPr>
          <w:rFonts w:ascii="仿宋_GB2312" w:hAnsi="仿宋_GB2312" w:cs="仿宋_GB2312"/>
          <w:szCs w:val="32"/>
        </w:rPr>
      </w:pPr>
      <w:r>
        <w:rPr>
          <w:rFonts w:hint="eastAsia" w:ascii="仿宋_GB2312" w:hAnsi="仿宋_GB2312" w:cs="仿宋_GB2312"/>
          <w:szCs w:val="32"/>
        </w:rPr>
        <w:t>项目的资金使用，满足园区入驻企业办公场地需求，为园区下一步招商引资工作奠定基础。</w:t>
      </w:r>
    </w:p>
    <w:p>
      <w:pPr>
        <w:topLinePunct/>
        <w:spacing w:line="600" w:lineRule="exact"/>
        <w:ind w:left="594" w:leftChars="200"/>
        <w:rPr>
          <w:rFonts w:ascii="仿宋_GB2312" w:hAnsi="仿宋_GB2312" w:cs="仿宋_GB2312"/>
          <w:szCs w:val="32"/>
        </w:rPr>
      </w:pPr>
      <w:r>
        <w:rPr>
          <w:rFonts w:hint="eastAsia" w:ascii="仿宋_GB2312" w:hAnsi="仿宋_GB2312" w:cs="仿宋_GB2312"/>
          <w:szCs w:val="32"/>
        </w:rPr>
        <w:t>4.项目可持续性分析</w:t>
      </w:r>
    </w:p>
    <w:p>
      <w:pPr>
        <w:topLinePunct/>
        <w:spacing w:line="600" w:lineRule="exact"/>
        <w:ind w:firstLine="594" w:firstLineChars="200"/>
        <w:rPr>
          <w:rFonts w:ascii="仿宋_GB2312" w:hAnsi="仿宋_GB2312" w:cs="仿宋_GB2312"/>
          <w:szCs w:val="32"/>
        </w:rPr>
      </w:pPr>
      <w:r>
        <w:rPr>
          <w:rFonts w:hint="eastAsia" w:ascii="仿宋_GB2312" w:hAnsi="仿宋_GB2312" w:cs="仿宋_GB2312"/>
          <w:szCs w:val="32"/>
        </w:rPr>
        <w:t>已完成装修场地全部移交入驻企业使用，为园区后续招商引资打下坚实基础。</w:t>
      </w:r>
    </w:p>
    <w:p>
      <w:pPr>
        <w:numPr>
          <w:ilvl w:val="0"/>
          <w:numId w:val="3"/>
        </w:numPr>
        <w:ind w:firstLine="594" w:firstLineChars="200"/>
        <w:rPr>
          <w:rFonts w:ascii="仿宋_GB2312"/>
          <w:b/>
          <w:szCs w:val="32"/>
        </w:rPr>
      </w:pPr>
      <w:r>
        <w:rPr>
          <w:rFonts w:hint="eastAsia" w:ascii="仿宋_GB2312"/>
          <w:b/>
          <w:szCs w:val="32"/>
        </w:rPr>
        <w:t>综合评价情况及评价结论</w:t>
      </w:r>
      <w:r>
        <w:rPr>
          <w:rFonts w:hint="eastAsia" w:ascii="仿宋_GB2312"/>
          <w:bCs/>
          <w:szCs w:val="32"/>
        </w:rPr>
        <w:t>（附相关评分表）</w:t>
      </w:r>
      <w:r>
        <w:rPr>
          <w:rFonts w:hint="eastAsia" w:ascii="仿宋_GB2312"/>
          <w:b/>
          <w:szCs w:val="32"/>
        </w:rPr>
        <w:t>。</w:t>
      </w:r>
    </w:p>
    <w:p>
      <w:pPr>
        <w:spacing w:line="560" w:lineRule="exact"/>
        <w:ind w:firstLine="594" w:firstLineChars="200"/>
        <w:rPr>
          <w:rFonts w:ascii="仿宋_GB2312" w:hAnsi="仿宋_GB2312" w:cs="仿宋_GB2312"/>
          <w:szCs w:val="32"/>
        </w:rPr>
      </w:pPr>
      <w:r>
        <w:rPr>
          <w:rFonts w:hint="eastAsia" w:ascii="仿宋_GB2312" w:hAnsi="仿宋_GB2312" w:cs="仿宋_GB2312"/>
          <w:szCs w:val="32"/>
        </w:rPr>
        <w:t>综合各指标评价之后，该项目绩效评价结果为“优”，评分表见下表附表3。</w:t>
      </w:r>
    </w:p>
    <w:p>
      <w:pPr>
        <w:spacing w:line="600" w:lineRule="exact"/>
        <w:rPr>
          <w:rFonts w:ascii="方正小标宋_GBK" w:eastAsia="方正小标宋_GBK"/>
          <w:spacing w:val="-6"/>
          <w:sz w:val="36"/>
          <w:szCs w:val="36"/>
        </w:rPr>
      </w:pPr>
      <w:r>
        <w:rPr>
          <w:rFonts w:hint="eastAsia" w:ascii="黑体" w:eastAsia="黑体"/>
          <w:szCs w:val="32"/>
        </w:rPr>
        <w:t>附件3：</w:t>
      </w:r>
    </w:p>
    <w:tbl>
      <w:tblPr>
        <w:tblStyle w:val="5"/>
        <w:tblW w:w="8862"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3"/>
        <w:gridCol w:w="8"/>
        <w:gridCol w:w="728"/>
        <w:gridCol w:w="991"/>
        <w:gridCol w:w="655"/>
        <w:gridCol w:w="2752"/>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tblHeader/>
        </w:trPr>
        <w:tc>
          <w:tcPr>
            <w:tcW w:w="8862" w:type="dxa"/>
            <w:gridSpan w:val="7"/>
            <w:tcBorders>
              <w:top w:val="nil"/>
              <w:left w:val="nil"/>
              <w:right w:val="nil"/>
            </w:tcBorders>
            <w:vAlign w:val="center"/>
          </w:tcPr>
          <w:p>
            <w:pPr>
              <w:widowControl/>
              <w:spacing w:beforeLines="50" w:afterLines="50"/>
              <w:jc w:val="center"/>
              <w:rPr>
                <w:rFonts w:ascii="黑体" w:hAnsi="宋体" w:eastAsia="黑体" w:cs="宋体"/>
                <w:kern w:val="0"/>
                <w:sz w:val="36"/>
                <w:szCs w:val="36"/>
              </w:rPr>
            </w:pPr>
            <w:r>
              <w:rPr>
                <w:rFonts w:hint="eastAsia" w:ascii="黑体" w:hAnsi="宋体" w:eastAsia="黑体" w:cs="宋体"/>
                <w:kern w:val="0"/>
                <w:sz w:val="36"/>
                <w:szCs w:val="36"/>
              </w:rPr>
              <w:t>项目支出绩效自评指标评分表</w:t>
            </w:r>
          </w:p>
          <w:p>
            <w:pPr>
              <w:widowControl/>
              <w:spacing w:line="260" w:lineRule="exact"/>
              <w:jc w:val="center"/>
              <w:rPr>
                <w:rFonts w:ascii="仿宋_GB2312" w:hAnsi="宋体" w:cs="宋体"/>
                <w:b/>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blHeader/>
        </w:trPr>
        <w:tc>
          <w:tcPr>
            <w:tcW w:w="631" w:type="dxa"/>
            <w:gridSpan w:val="2"/>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一级指标</w:t>
            </w:r>
          </w:p>
        </w:tc>
        <w:tc>
          <w:tcPr>
            <w:tcW w:w="728"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二级指标</w:t>
            </w:r>
          </w:p>
        </w:tc>
        <w:tc>
          <w:tcPr>
            <w:tcW w:w="991"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三级</w:t>
            </w:r>
          </w:p>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指标</w:t>
            </w:r>
          </w:p>
        </w:tc>
        <w:tc>
          <w:tcPr>
            <w:tcW w:w="655"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自评分</w:t>
            </w:r>
          </w:p>
        </w:tc>
        <w:tc>
          <w:tcPr>
            <w:tcW w:w="2752"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具体指标说明</w:t>
            </w:r>
          </w:p>
        </w:tc>
        <w:tc>
          <w:tcPr>
            <w:tcW w:w="3105" w:type="dxa"/>
            <w:vAlign w:val="center"/>
          </w:tcPr>
          <w:p>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r>
              <w:rPr>
                <w:rFonts w:ascii="仿宋_GB2312" w:hAnsi="宋体" w:cs="宋体"/>
                <w:kern w:val="0"/>
                <w:sz w:val="21"/>
                <w:szCs w:val="21"/>
              </w:rPr>
              <w:t>20</w:t>
            </w:r>
            <w:r>
              <w:rPr>
                <w:rFonts w:hint="eastAsia" w:ascii="仿宋_GB2312" w:hAnsi="宋体" w:cs="宋体"/>
                <w:kern w:val="0"/>
                <w:sz w:val="21"/>
                <w:szCs w:val="21"/>
              </w:rPr>
              <w:t>分）</w:t>
            </w:r>
          </w:p>
        </w:tc>
        <w:tc>
          <w:tcPr>
            <w:tcW w:w="736" w:type="dxa"/>
            <w:gridSpan w:val="2"/>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w:t>
            </w:r>
          </w:p>
          <w:p>
            <w:pPr>
              <w:widowControl/>
              <w:spacing w:line="260" w:lineRule="exact"/>
              <w:jc w:val="center"/>
              <w:rPr>
                <w:rFonts w:ascii="仿宋_GB2312" w:hAnsi="宋体" w:cs="宋体"/>
                <w:kern w:val="0"/>
                <w:sz w:val="21"/>
                <w:szCs w:val="21"/>
              </w:rPr>
            </w:pPr>
            <w:r>
              <w:rPr>
                <w:rFonts w:ascii="仿宋_GB2312" w:hAnsi="宋体" w:cs="宋体"/>
                <w:kern w:val="0"/>
                <w:sz w:val="21"/>
                <w:szCs w:val="21"/>
              </w:rPr>
              <w:t>(4</w:t>
            </w:r>
            <w:r>
              <w:rPr>
                <w:rFonts w:hint="eastAsia" w:ascii="仿宋_GB2312" w:hAnsi="宋体" w:cs="宋体"/>
                <w:kern w:val="0"/>
                <w:sz w:val="21"/>
                <w:szCs w:val="21"/>
              </w:rPr>
              <w:t>分</w:t>
            </w:r>
            <w:r>
              <w:rPr>
                <w:rFonts w:ascii="仿宋_GB2312" w:hAnsi="宋体" w:cs="宋体"/>
                <w:kern w:val="0"/>
                <w:sz w:val="21"/>
                <w:szCs w:val="21"/>
              </w:rPr>
              <w:t>)</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目标内容（</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仿宋_GB2312" w:hAnsi="宋体" w:cs="宋体"/>
                <w:color w:val="FF0000"/>
                <w:kern w:val="0"/>
                <w:sz w:val="21"/>
                <w:szCs w:val="21"/>
              </w:rPr>
            </w:pPr>
            <w:r>
              <w:rPr>
                <w:rFonts w:hint="eastAsia" w:ascii="仿宋_GB2312" w:hAnsi="宋体" w:cs="宋体"/>
                <w:kern w:val="0"/>
                <w:sz w:val="21"/>
                <w:szCs w:val="21"/>
              </w:rPr>
              <w:t>租用创新孵化中心</w:t>
            </w:r>
            <w:r>
              <w:rPr>
                <w:rFonts w:ascii="仿宋_GB2312" w:hAnsi="宋体" w:cs="宋体"/>
                <w:kern w:val="0"/>
                <w:sz w:val="21"/>
                <w:szCs w:val="21"/>
              </w:rPr>
              <w:t>作为招商引资企业的入驻办公场地使用</w:t>
            </w:r>
          </w:p>
        </w:tc>
        <w:tc>
          <w:tcPr>
            <w:tcW w:w="3105" w:type="dxa"/>
            <w:vAlign w:val="center"/>
          </w:tcPr>
          <w:p>
            <w:pPr>
              <w:spacing w:line="260" w:lineRule="exact"/>
              <w:jc w:val="left"/>
              <w:rPr>
                <w:rFonts w:ascii="仿宋_GB2312" w:hAnsi="宋体" w:cs="宋体"/>
                <w:kern w:val="0"/>
                <w:sz w:val="21"/>
                <w:szCs w:val="21"/>
              </w:rPr>
            </w:pPr>
            <w:r>
              <w:rPr>
                <w:rFonts w:hint="eastAsia" w:ascii="仿宋_GB2312" w:hAnsi="宋体" w:cs="宋体"/>
                <w:kern w:val="0"/>
                <w:sz w:val="21"/>
                <w:szCs w:val="21"/>
              </w:rPr>
              <w:t>设有目标（</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目标明确（</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目标细化（</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pPr>
              <w:spacing w:line="260" w:lineRule="exact"/>
              <w:jc w:val="left"/>
              <w:rPr>
                <w:rFonts w:ascii="仿宋_GB2312" w:hAnsi="宋体" w:cs="宋体"/>
                <w:kern w:val="0"/>
                <w:sz w:val="21"/>
                <w:szCs w:val="21"/>
              </w:rPr>
            </w:pPr>
            <w:r>
              <w:rPr>
                <w:rFonts w:hint="eastAsia" w:ascii="仿宋_GB2312" w:hAnsi="宋体" w:cs="宋体"/>
                <w:kern w:val="0"/>
                <w:sz w:val="21"/>
                <w:szCs w:val="21"/>
              </w:rPr>
              <w:t>目标量化（</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过程</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决策依据（</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4</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仿宋_GB2312" w:hAnsi="宋体" w:cs="宋体"/>
                <w:kern w:val="0"/>
                <w:sz w:val="21"/>
                <w:szCs w:val="21"/>
              </w:rPr>
              <w:t xml:space="preserve">昆明呈贡信息产业园区管理委员会《2019年第14次主任办公会会议纪要》        </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符合法律法规（</w:t>
            </w:r>
            <w:r>
              <w:rPr>
                <w:rFonts w:ascii="仿宋_GB2312" w:hAnsi="宋体" w:cs="宋体"/>
                <w:kern w:val="0"/>
                <w:sz w:val="21"/>
                <w:szCs w:val="21"/>
              </w:rPr>
              <w:t>1</w:t>
            </w:r>
            <w:r>
              <w:rPr>
                <w:rFonts w:hint="eastAsia" w:ascii="仿宋_GB2312" w:hAnsi="宋体" w:cs="宋体"/>
                <w:kern w:val="0"/>
                <w:sz w:val="21"/>
                <w:szCs w:val="21"/>
              </w:rPr>
              <w:t>分）符合经济社会发展规划（</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部门年度工作计划（</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针对某一实际问题和需求（</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决策程序（</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4</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项目符合相关申报条件；申报、批复程序符合相关管理办法；项目调整履行了相应手续</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符合申报条件（</w:t>
            </w:r>
            <w:r>
              <w:rPr>
                <w:rFonts w:ascii="仿宋_GB2312" w:hAnsi="宋体" w:cs="宋体"/>
                <w:kern w:val="0"/>
                <w:sz w:val="21"/>
                <w:szCs w:val="21"/>
              </w:rPr>
              <w:t>2</w:t>
            </w:r>
            <w:r>
              <w:rPr>
                <w:rFonts w:hint="eastAsia" w:ascii="仿宋_GB2312" w:hAnsi="宋体" w:cs="宋体"/>
                <w:kern w:val="0"/>
                <w:sz w:val="21"/>
                <w:szCs w:val="21"/>
              </w:rPr>
              <w:t>分）项目申报、批复程序符合管理办法（</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项目调整履行了相应手续（</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分配办法（</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昆明智投公司及大数据公司制定了项目资金资金管理办法，管理办法中有明确资金分配办法；资金分配因素全面、合理</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有相应的资金管理办法（</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办法健全、规范（</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因素全面合理（</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分配结果（</w:t>
            </w:r>
            <w:r>
              <w:rPr>
                <w:rFonts w:ascii="仿宋_GB2312" w:hAnsi="宋体" w:cs="宋体"/>
                <w:kern w:val="0"/>
                <w:sz w:val="21"/>
                <w:szCs w:val="21"/>
              </w:rPr>
              <w:t>5</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5</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资金分配符合相关管理办法；分配结果公平合理</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符合分配办法（</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分配公平合理（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7"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5</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到位时效（</w:t>
            </w:r>
            <w:r>
              <w:rPr>
                <w:rFonts w:ascii="仿宋_GB2312" w:hAnsi="宋体" w:cs="宋体"/>
                <w:kern w:val="0"/>
                <w:sz w:val="21"/>
                <w:szCs w:val="21"/>
              </w:rPr>
              <w:t>2</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2</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资金已及时到位</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到位及时（</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不及时但未影响项目进度</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不及时并影响项目进度（</w:t>
            </w:r>
            <w:r>
              <w:rPr>
                <w:rFonts w:ascii="仿宋_GB2312" w:hAnsi="宋体" w:cs="宋体"/>
                <w:kern w:val="0"/>
                <w:sz w:val="21"/>
                <w:szCs w:val="21"/>
              </w:rPr>
              <w:t>0.5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资金使用（</w:t>
            </w:r>
            <w:r>
              <w:rPr>
                <w:rFonts w:ascii="仿宋_GB2312" w:hAnsi="宋体" w:cs="宋体"/>
                <w:kern w:val="0"/>
                <w:sz w:val="21"/>
                <w:szCs w:val="21"/>
              </w:rPr>
              <w:t>7</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支出依据合规，无虚列项目支出情况、截留挤占挪用情况、超标准开支情况、、超预算情况</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虚列套取扣</w:t>
            </w:r>
            <w:r>
              <w:rPr>
                <w:rFonts w:ascii="仿宋_GB2312" w:hAnsi="宋体" w:cs="宋体"/>
                <w:kern w:val="0"/>
                <w:sz w:val="21"/>
                <w:szCs w:val="21"/>
              </w:rPr>
              <w:t>4-7</w:t>
            </w:r>
            <w:r>
              <w:rPr>
                <w:rFonts w:hint="eastAsia" w:ascii="仿宋_GB2312" w:hAnsi="宋体" w:cs="宋体"/>
                <w:kern w:val="0"/>
                <w:sz w:val="21"/>
                <w:szCs w:val="21"/>
              </w:rPr>
              <w:t>分</w:t>
            </w:r>
            <w:r>
              <w:rPr>
                <w:rFonts w:ascii="仿宋_GB2312" w:hAnsi="宋体" w:cs="宋体"/>
                <w:kern w:val="0"/>
                <w:sz w:val="21"/>
                <w:szCs w:val="21"/>
              </w:rPr>
              <w:t xml:space="preserve"> </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依据不合规扣</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截留、挤占、挪用</w:t>
            </w:r>
            <w:r>
              <w:rPr>
                <w:rFonts w:ascii="仿宋_GB2312" w:hAnsi="宋体" w:cs="宋体"/>
                <w:kern w:val="0"/>
                <w:sz w:val="21"/>
                <w:szCs w:val="21"/>
              </w:rPr>
              <w:t xml:space="preserve">    </w:t>
            </w:r>
            <w:r>
              <w:rPr>
                <w:rFonts w:hint="eastAsia" w:ascii="仿宋_GB2312" w:hAnsi="宋体" w:cs="宋体"/>
                <w:kern w:val="0"/>
                <w:sz w:val="21"/>
                <w:szCs w:val="21"/>
              </w:rPr>
              <w:t>扣</w:t>
            </w:r>
            <w:r>
              <w:rPr>
                <w:rFonts w:ascii="仿宋_GB2312" w:hAnsi="宋体" w:cs="宋体"/>
                <w:kern w:val="0"/>
                <w:sz w:val="21"/>
                <w:szCs w:val="21"/>
              </w:rPr>
              <w:t>3-6</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超标准开支扣</w:t>
            </w:r>
            <w:r>
              <w:rPr>
                <w:rFonts w:ascii="仿宋_GB2312" w:hAnsi="宋体" w:cs="宋体"/>
                <w:kern w:val="0"/>
                <w:sz w:val="21"/>
                <w:szCs w:val="21"/>
              </w:rPr>
              <w:t>2-5</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超预算扣</w:t>
            </w:r>
            <w:r>
              <w:rPr>
                <w:rFonts w:ascii="仿宋_GB2312" w:hAnsi="宋体" w:cs="宋体"/>
                <w:kern w:val="0"/>
                <w:sz w:val="21"/>
                <w:szCs w:val="21"/>
              </w:rPr>
              <w:t>2-5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财务管理（</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资金管理、费用支出等制度健全；制度执行严格；会计核算规范</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财务制度健全（</w:t>
            </w:r>
            <w:r>
              <w:rPr>
                <w:rFonts w:ascii="仿宋_GB2312" w:hAnsi="宋体" w:cs="宋体"/>
                <w:kern w:val="0"/>
                <w:sz w:val="21"/>
                <w:szCs w:val="21"/>
              </w:rPr>
              <w:t>1</w:t>
            </w:r>
            <w:r>
              <w:rPr>
                <w:rFonts w:hint="eastAsia" w:ascii="仿宋_GB2312" w:hAnsi="宋体" w:cs="宋体"/>
                <w:kern w:val="0"/>
                <w:sz w:val="21"/>
                <w:szCs w:val="21"/>
              </w:rPr>
              <w:t>分）严格执行制度（</w:t>
            </w:r>
            <w:r>
              <w:rPr>
                <w:rFonts w:ascii="仿宋_GB2312" w:hAnsi="宋体" w:cs="宋体"/>
                <w:kern w:val="0"/>
                <w:sz w:val="21"/>
                <w:szCs w:val="21"/>
              </w:rPr>
              <w:t>1</w:t>
            </w:r>
            <w:r>
              <w:rPr>
                <w:rFonts w:hint="eastAsia" w:ascii="仿宋_GB2312" w:hAnsi="宋体" w:cs="宋体"/>
                <w:kern w:val="0"/>
                <w:sz w:val="21"/>
                <w:szCs w:val="21"/>
              </w:rPr>
              <w:t>分）会计核算规范（</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组织机构（</w:t>
            </w:r>
            <w:r>
              <w:rPr>
                <w:rFonts w:ascii="仿宋_GB2312" w:hAnsi="宋体" w:cs="宋体"/>
                <w:kern w:val="0"/>
                <w:sz w:val="21"/>
                <w:szCs w:val="21"/>
              </w:rPr>
              <w:t>1</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1</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有明确，健全的组织、实施机构，分工明确。</w:t>
            </w:r>
          </w:p>
        </w:tc>
        <w:tc>
          <w:tcPr>
            <w:tcW w:w="3105" w:type="dxa"/>
            <w:vAlign w:val="center"/>
          </w:tcPr>
          <w:p>
            <w:pPr>
              <w:widowControl/>
              <w:spacing w:line="260" w:lineRule="exact"/>
              <w:ind w:left="187" w:hanging="187" w:hangingChars="100"/>
              <w:jc w:val="left"/>
              <w:rPr>
                <w:rFonts w:ascii="仿宋_GB2312" w:hAnsi="宋体" w:cs="宋体"/>
                <w:kern w:val="0"/>
                <w:sz w:val="21"/>
                <w:szCs w:val="21"/>
              </w:rPr>
            </w:pPr>
            <w:r>
              <w:rPr>
                <w:rFonts w:hint="eastAsia" w:ascii="仿宋_GB2312" w:hAnsi="宋体" w:cs="宋体"/>
                <w:kern w:val="0"/>
                <w:sz w:val="21"/>
                <w:szCs w:val="21"/>
              </w:rPr>
              <w:t>机构健全、分工明确</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项目实施（</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2</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1、2020年,在年度内资金已划拨完成。</w:t>
            </w:r>
          </w:p>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2、2020年12月底，全额完成协议和合同要求。</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按计划开工（</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按计划开展（</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按计划完工（</w:t>
            </w:r>
            <w:r>
              <w:rPr>
                <w:rFonts w:ascii="仿宋_GB2312" w:hAnsi="宋体" w:cs="宋体"/>
                <w:kern w:val="0"/>
                <w:sz w:val="21"/>
                <w:szCs w:val="21"/>
              </w:rPr>
              <w:t>1</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管理制度（</w:t>
            </w:r>
            <w:r>
              <w:rPr>
                <w:rFonts w:ascii="仿宋_GB2312" w:hAnsi="宋体" w:cs="宋体"/>
                <w:kern w:val="0"/>
                <w:sz w:val="21"/>
                <w:szCs w:val="21"/>
              </w:rPr>
              <w:t>6</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6</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项目管理制度健全；严格执行相关管理制度；</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管理制度健全（</w:t>
            </w:r>
            <w:r>
              <w:rPr>
                <w:rFonts w:ascii="仿宋_GB2312" w:hAnsi="宋体" w:cs="宋体"/>
                <w:kern w:val="0"/>
                <w:sz w:val="21"/>
                <w:szCs w:val="21"/>
              </w:rPr>
              <w:t>2</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制度执行严格（</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绩效（</w:t>
            </w:r>
            <w:r>
              <w:rPr>
                <w:rFonts w:ascii="仿宋_GB2312" w:hAnsi="宋体" w:cs="宋体"/>
                <w:kern w:val="0"/>
                <w:sz w:val="21"/>
                <w:szCs w:val="21"/>
              </w:rPr>
              <w:t>55</w:t>
            </w:r>
            <w:r>
              <w:rPr>
                <w:rFonts w:hint="eastAsia" w:ascii="仿宋_GB2312" w:hAnsi="宋体" w:cs="宋体"/>
                <w:kern w:val="0"/>
                <w:sz w:val="21"/>
                <w:szCs w:val="21"/>
              </w:rPr>
              <w:t>分）</w:t>
            </w:r>
          </w:p>
        </w:tc>
        <w:tc>
          <w:tcPr>
            <w:tcW w:w="736" w:type="dxa"/>
            <w:gridSpan w:val="2"/>
            <w:vMerge w:val="restart"/>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w:t>
            </w:r>
            <w:r>
              <w:rPr>
                <w:rFonts w:ascii="仿宋_GB2312" w:hAnsi="宋体" w:cs="宋体"/>
                <w:kern w:val="0"/>
                <w:sz w:val="21"/>
                <w:szCs w:val="21"/>
              </w:rPr>
              <w:t>(15</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产出数量（</w:t>
            </w:r>
            <w:r>
              <w:rPr>
                <w:rFonts w:ascii="仿宋_GB2312" w:hAnsi="宋体" w:cs="宋体"/>
                <w:kern w:val="0"/>
                <w:sz w:val="21"/>
                <w:szCs w:val="21"/>
              </w:rPr>
              <w:t>5</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3.5</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收取租金13家，完成装修18家</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对照绩效目标，按实际产出数量率计算得分（</w:t>
            </w:r>
            <w:r>
              <w:rPr>
                <w:rFonts w:ascii="仿宋_GB2312" w:hAnsi="宋体" w:cs="宋体"/>
                <w:kern w:val="0"/>
                <w:sz w:val="21"/>
                <w:szCs w:val="21"/>
              </w:rPr>
              <w:t>5</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产出质量（</w:t>
            </w:r>
            <w:r>
              <w:rPr>
                <w:rFonts w:ascii="仿宋_GB2312" w:hAnsi="宋体" w:cs="宋体"/>
                <w:kern w:val="0"/>
                <w:sz w:val="21"/>
                <w:szCs w:val="21"/>
              </w:rPr>
              <w:t>4</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3.2</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符合国家相关标准</w:t>
            </w:r>
          </w:p>
          <w:p>
            <w:pPr>
              <w:spacing w:line="260" w:lineRule="exact"/>
              <w:jc w:val="left"/>
              <w:rPr>
                <w:rFonts w:ascii="宋体" w:hAnsi="宋体" w:eastAsia="宋体" w:cs="宋体"/>
                <w:color w:val="000000"/>
                <w:kern w:val="0"/>
                <w:sz w:val="20"/>
                <w:szCs w:val="20"/>
              </w:rPr>
            </w:pP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对照绩效目标，按实际产出质量率计算得分（</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产出时效（</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2</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截止到2020年12月31日，收取已入驻企业租金。</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对照绩效目标，按实际产出时效率计算得分（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产出成本（</w:t>
            </w:r>
            <w:r>
              <w:rPr>
                <w:rFonts w:ascii="仿宋_GB2312" w:hAnsi="宋体" w:cs="宋体"/>
                <w:kern w:val="0"/>
                <w:sz w:val="21"/>
                <w:szCs w:val="21"/>
              </w:rPr>
              <w:t>3</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3</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在没有增加成本的情况下，部分指标完成。</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对照绩效目标，按实际产出成本率计算得分（</w:t>
            </w:r>
            <w:r>
              <w:rPr>
                <w:rFonts w:ascii="仿宋_GB2312" w:hAnsi="宋体" w:cs="宋体"/>
                <w:kern w:val="0"/>
                <w:sz w:val="21"/>
                <w:szCs w:val="21"/>
              </w:rPr>
              <w:t>3</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restart"/>
            <w:vAlign w:val="center"/>
          </w:tcPr>
          <w:p>
            <w:pPr>
              <w:widowControl/>
              <w:spacing w:line="260" w:lineRule="exact"/>
              <w:rPr>
                <w:rFonts w:ascii="仿宋_GB2312" w:hAnsi="宋体" w:cs="宋体"/>
                <w:kern w:val="0"/>
                <w:sz w:val="21"/>
                <w:szCs w:val="21"/>
              </w:rPr>
            </w:pP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效果</w:t>
            </w:r>
            <w:r>
              <w:rPr>
                <w:rFonts w:ascii="仿宋_GB2312" w:hAnsi="宋体" w:cs="宋体"/>
                <w:kern w:val="0"/>
                <w:sz w:val="21"/>
                <w:szCs w:val="21"/>
              </w:rPr>
              <w:t>(40</w:t>
            </w:r>
            <w:r>
              <w:rPr>
                <w:rFonts w:hint="eastAsia" w:ascii="仿宋_GB2312" w:hAnsi="宋体" w:cs="宋体"/>
                <w:kern w:val="0"/>
                <w:sz w:val="21"/>
                <w:szCs w:val="21"/>
              </w:rPr>
              <w:t>分）</w:t>
            </w: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经济效益（</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为园区企业提供良好的发展环境，减轻企业负担，极大的提升了园区形象。</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对照绩效目标，按经济效益实现程度计算得分（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社会效益（</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带动就业。</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对照绩效目标，按社会效益实现程度计算得分（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环境效益（</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6</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通过信息化建设，减少对相关耗材的使用，减少了对环境的破坏；</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对照绩效目标，按对环境所产生的实际影响程度计算得分（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可持续影响（</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8</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项目产出能持续为园区管委会、智投公司、入驻企业提供服务。</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项目产出能持续运用（</w:t>
            </w:r>
            <w:r>
              <w:rPr>
                <w:rFonts w:ascii="仿宋_GB2312" w:hAnsi="宋体" w:cs="宋体"/>
                <w:kern w:val="0"/>
                <w:sz w:val="21"/>
                <w:szCs w:val="21"/>
              </w:rPr>
              <w:t>4</w:t>
            </w:r>
            <w:r>
              <w:rPr>
                <w:rFonts w:hint="eastAsia" w:ascii="仿宋_GB2312" w:hAnsi="宋体" w:cs="宋体"/>
                <w:kern w:val="0"/>
                <w:sz w:val="21"/>
                <w:szCs w:val="21"/>
              </w:rPr>
              <w:t>分）</w:t>
            </w:r>
          </w:p>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所依赖的政策制度能持续执行（</w:t>
            </w:r>
            <w:r>
              <w:rPr>
                <w:rFonts w:ascii="仿宋_GB2312" w:hAnsi="宋体" w:cs="宋体"/>
                <w:kern w:val="0"/>
                <w:sz w:val="21"/>
                <w:szCs w:val="21"/>
              </w:rPr>
              <w:t>4</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cs="宋体"/>
                <w:kern w:val="0"/>
                <w:sz w:val="21"/>
                <w:szCs w:val="21"/>
              </w:rPr>
            </w:pPr>
          </w:p>
        </w:tc>
        <w:tc>
          <w:tcPr>
            <w:tcW w:w="736" w:type="dxa"/>
            <w:gridSpan w:val="2"/>
            <w:vMerge w:val="continue"/>
            <w:vAlign w:val="center"/>
          </w:tcPr>
          <w:p>
            <w:pPr>
              <w:widowControl/>
              <w:spacing w:line="260" w:lineRule="exact"/>
              <w:jc w:val="left"/>
              <w:rPr>
                <w:rFonts w:ascii="仿宋_GB2312" w:hAnsi="宋体" w:cs="宋体"/>
                <w:kern w:val="0"/>
                <w:sz w:val="21"/>
                <w:szCs w:val="21"/>
              </w:rPr>
            </w:pPr>
          </w:p>
        </w:tc>
        <w:tc>
          <w:tcPr>
            <w:tcW w:w="991"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服务对象满意度</w:t>
            </w:r>
          </w:p>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7</w:t>
            </w:r>
          </w:p>
        </w:tc>
        <w:tc>
          <w:tcPr>
            <w:tcW w:w="2752" w:type="dxa"/>
            <w:vAlign w:val="center"/>
          </w:tcPr>
          <w:p>
            <w:pPr>
              <w:spacing w:line="2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系对象对项目较为满意。</w:t>
            </w:r>
          </w:p>
        </w:tc>
        <w:tc>
          <w:tcPr>
            <w:tcW w:w="3105" w:type="dxa"/>
            <w:vAlign w:val="center"/>
          </w:tcPr>
          <w:p>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按收集到的项目服务对象的满意率计算得分（</w:t>
            </w:r>
            <w:r>
              <w:rPr>
                <w:rFonts w:ascii="仿宋_GB2312" w:hAnsi="宋体" w:cs="宋体"/>
                <w:kern w:val="0"/>
                <w:sz w:val="21"/>
                <w:szCs w:val="21"/>
              </w:rPr>
              <w:t>8</w:t>
            </w:r>
            <w:r>
              <w:rPr>
                <w:rFonts w:hint="eastAsia" w:ascii="仿宋_GB2312" w:hAnsi="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trPr>
        <w:tc>
          <w:tcPr>
            <w:tcW w:w="2350" w:type="dxa"/>
            <w:gridSpan w:val="4"/>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总分</w:t>
            </w:r>
          </w:p>
        </w:tc>
        <w:tc>
          <w:tcPr>
            <w:tcW w:w="65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95.5</w:t>
            </w:r>
          </w:p>
        </w:tc>
        <w:tc>
          <w:tcPr>
            <w:tcW w:w="2752"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c>
          <w:tcPr>
            <w:tcW w:w="3105" w:type="dxa"/>
            <w:vAlign w:val="center"/>
          </w:tcPr>
          <w:p>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r>
    </w:tbl>
    <w:p>
      <w:pPr>
        <w:numPr>
          <w:ilvl w:val="0"/>
          <w:numId w:val="3"/>
        </w:numPr>
        <w:ind w:firstLine="594" w:firstLineChars="200"/>
        <w:rPr>
          <w:rFonts w:ascii="仿宋_GB2312"/>
          <w:b/>
          <w:szCs w:val="32"/>
        </w:rPr>
      </w:pPr>
      <w:r>
        <w:rPr>
          <w:rFonts w:hint="eastAsia" w:ascii="仿宋_GB2312"/>
          <w:b/>
          <w:szCs w:val="32"/>
        </w:rPr>
        <w:t>绩效评价结果应用建议</w:t>
      </w:r>
      <w:r>
        <w:rPr>
          <w:rFonts w:hint="eastAsia" w:ascii="仿宋_GB2312"/>
          <w:bCs/>
          <w:szCs w:val="32"/>
        </w:rPr>
        <w:t>。</w:t>
      </w:r>
    </w:p>
    <w:p>
      <w:pPr>
        <w:ind w:firstLine="594" w:firstLineChars="200"/>
        <w:rPr>
          <w:rFonts w:ascii="仿宋_GB2312" w:hAnsi="仿宋_GB2312" w:cs="仿宋_GB2312"/>
          <w:szCs w:val="32"/>
        </w:rPr>
      </w:pPr>
      <w:r>
        <w:rPr>
          <w:rFonts w:hint="eastAsia" w:ascii="仿宋_GB2312" w:hAnsi="仿宋_GB2312" w:cs="仿宋_GB2312"/>
          <w:szCs w:val="32"/>
        </w:rPr>
        <w:t>协议签订后，因装修工期问题，无法按时移交企业租赁场地，导致企业房屋租金收缴落实不及时；下一步将提高场地装修进度，及时收取房租，及时落实下一年租金，保证租金到位，同时加强园区基础设施等生态环境的建设提升。</w:t>
      </w:r>
    </w:p>
    <w:p>
      <w:pPr>
        <w:spacing w:line="560" w:lineRule="exact"/>
        <w:ind w:left="594" w:leftChars="200"/>
        <w:rPr>
          <w:rFonts w:asciiTheme="majorHAnsi" w:hAnsiTheme="majorHAnsi" w:cstheme="majorBidi"/>
          <w:bCs/>
          <w:szCs w:val="32"/>
        </w:rPr>
      </w:pPr>
      <w:r>
        <w:rPr>
          <w:rFonts w:hint="eastAsia" w:ascii="仿宋_GB2312"/>
          <w:b/>
          <w:szCs w:val="32"/>
        </w:rPr>
        <w:t>七、主要经验及做法、存在的问题和建议。</w:t>
      </w:r>
      <w:bookmarkStart w:id="1" w:name="_Toc30514902"/>
    </w:p>
    <w:p>
      <w:pPr>
        <w:topLinePunct/>
        <w:spacing w:line="600" w:lineRule="exact"/>
        <w:ind w:firstLine="593"/>
        <w:rPr>
          <w:rFonts w:ascii="仿宋_GB2312" w:hAnsi="仿宋_GB2312" w:cs="仿宋_GB2312"/>
          <w:szCs w:val="32"/>
        </w:rPr>
      </w:pPr>
      <w:r>
        <w:rPr>
          <w:rFonts w:hint="eastAsia" w:ascii="仿宋_GB2312" w:hAnsi="仿宋"/>
        </w:rPr>
        <w:t>1、</w:t>
      </w:r>
      <w:r>
        <w:rPr>
          <w:rFonts w:hint="eastAsia" w:ascii="仿宋_GB2312" w:hAnsi="仿宋_GB2312" w:cs="仿宋_GB2312"/>
          <w:szCs w:val="32"/>
        </w:rPr>
        <w:t>按照相关工程建筑管理规范，造价、监理全过程介入，安排专人定期不定期对施工现场进行巡查，若存在问题，及时发现及时整改，确保项目施工顺利完成。</w:t>
      </w:r>
    </w:p>
    <w:p>
      <w:pPr>
        <w:topLinePunct/>
        <w:ind w:firstLine="594" w:firstLineChars="200"/>
        <w:rPr>
          <w:rFonts w:ascii="仿宋_GB2312" w:hAnsi="仿宋"/>
        </w:rPr>
      </w:pPr>
      <w:r>
        <w:rPr>
          <w:rFonts w:hint="eastAsia" w:ascii="仿宋_GB2312" w:hAnsi="仿宋"/>
        </w:rPr>
        <w:t>2、落实项目技术指标及功能参数是否按前期规划内容执行。</w:t>
      </w:r>
    </w:p>
    <w:bookmarkEnd w:id="1"/>
    <w:p>
      <w:pPr>
        <w:ind w:left="594" w:leftChars="200"/>
        <w:rPr>
          <w:rFonts w:ascii="仿宋_GB2312"/>
          <w:b/>
          <w:szCs w:val="32"/>
        </w:rPr>
      </w:pPr>
      <w:r>
        <w:rPr>
          <w:rFonts w:hint="eastAsia" w:ascii="仿宋_GB2312"/>
          <w:b/>
          <w:szCs w:val="32"/>
        </w:rPr>
        <w:t>八、其他需说明的问题。</w:t>
      </w:r>
    </w:p>
    <w:p>
      <w:pPr>
        <w:ind w:left="594" w:leftChars="200"/>
        <w:rPr>
          <w:rFonts w:ascii="仿宋_GB2312"/>
          <w:bCs/>
          <w:szCs w:val="32"/>
        </w:rPr>
      </w:pPr>
      <w:r>
        <w:rPr>
          <w:rFonts w:hint="eastAsia" w:ascii="仿宋_GB2312"/>
          <w:bCs/>
          <w:szCs w:val="32"/>
        </w:rPr>
        <w:t>无。</w:t>
      </w:r>
    </w:p>
    <w:p>
      <w:pPr>
        <w:topLinePunct/>
        <w:spacing w:line="560" w:lineRule="exact"/>
        <w:ind w:firstLine="594" w:firstLineChars="200"/>
        <w:rPr>
          <w:rFonts w:ascii="Times New Roman" w:hAnsi="Times New Roman" w:cs="Times New Roman"/>
          <w:szCs w:val="32"/>
        </w:rPr>
      </w:pPr>
      <w:bookmarkStart w:id="2" w:name="_GoBack"/>
      <w:bookmarkEnd w:id="2"/>
    </w:p>
    <w:sectPr>
      <w:pgSz w:w="11906" w:h="16838"/>
      <w:pgMar w:top="1723" w:right="1800" w:bottom="1723" w:left="1800"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altName w:val="Arial"/>
    <w:panose1 w:val="00000000000000000000"/>
    <w:charset w:val="00"/>
    <w:family w:val="swiss"/>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8634A"/>
    <w:multiLevelType w:val="singleLevel"/>
    <w:tmpl w:val="8BF8634A"/>
    <w:lvl w:ilvl="0" w:tentative="0">
      <w:start w:val="2"/>
      <w:numFmt w:val="chineseCounting"/>
      <w:suff w:val="nothing"/>
      <w:lvlText w:val="（%1）"/>
      <w:lvlJc w:val="left"/>
      <w:rPr>
        <w:rFonts w:hint="eastAsia"/>
      </w:rPr>
    </w:lvl>
  </w:abstractNum>
  <w:abstractNum w:abstractNumId="1">
    <w:nsid w:val="9F28CCFF"/>
    <w:multiLevelType w:val="singleLevel"/>
    <w:tmpl w:val="9F28CCFF"/>
    <w:lvl w:ilvl="0" w:tentative="0">
      <w:start w:val="5"/>
      <w:numFmt w:val="chineseCounting"/>
      <w:suff w:val="nothing"/>
      <w:lvlText w:val="%1、"/>
      <w:lvlJc w:val="left"/>
      <w:rPr>
        <w:rFonts w:hint="eastAsia"/>
      </w:rPr>
    </w:lvl>
  </w:abstractNum>
  <w:abstractNum w:abstractNumId="2">
    <w:nsid w:val="43B18715"/>
    <w:multiLevelType w:val="singleLevel"/>
    <w:tmpl w:val="43B18715"/>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C4FD0"/>
    <w:rsid w:val="000C61DD"/>
    <w:rsid w:val="00172A27"/>
    <w:rsid w:val="00225503"/>
    <w:rsid w:val="00292960"/>
    <w:rsid w:val="0032382D"/>
    <w:rsid w:val="0049685E"/>
    <w:rsid w:val="004F21F0"/>
    <w:rsid w:val="005C2861"/>
    <w:rsid w:val="005C6C18"/>
    <w:rsid w:val="006D0E2A"/>
    <w:rsid w:val="006F3A74"/>
    <w:rsid w:val="00893C1A"/>
    <w:rsid w:val="008A3BA8"/>
    <w:rsid w:val="00902A69"/>
    <w:rsid w:val="00952AB4"/>
    <w:rsid w:val="009C2F5B"/>
    <w:rsid w:val="009E4ECF"/>
    <w:rsid w:val="009F1C47"/>
    <w:rsid w:val="00A05EA4"/>
    <w:rsid w:val="00A31A0E"/>
    <w:rsid w:val="00A50CDE"/>
    <w:rsid w:val="00AF7BA5"/>
    <w:rsid w:val="00B94C43"/>
    <w:rsid w:val="00D324B7"/>
    <w:rsid w:val="00D66252"/>
    <w:rsid w:val="00E43427"/>
    <w:rsid w:val="00FE2D4E"/>
    <w:rsid w:val="00FF2429"/>
    <w:rsid w:val="02FB2AB8"/>
    <w:rsid w:val="05AE36CA"/>
    <w:rsid w:val="06525C14"/>
    <w:rsid w:val="08563735"/>
    <w:rsid w:val="0F4F7876"/>
    <w:rsid w:val="177C1352"/>
    <w:rsid w:val="1B4B22CC"/>
    <w:rsid w:val="22B90AA8"/>
    <w:rsid w:val="2A957D1D"/>
    <w:rsid w:val="34BA06A5"/>
    <w:rsid w:val="378A5996"/>
    <w:rsid w:val="3AA426C0"/>
    <w:rsid w:val="51C05EE5"/>
    <w:rsid w:val="5A3C6978"/>
    <w:rsid w:val="67600811"/>
    <w:rsid w:val="6DD56D9C"/>
    <w:rsid w:val="6E710353"/>
    <w:rsid w:val="789D155E"/>
    <w:rsid w:val="7B6F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99"/>
    <w:rPr>
      <w:rFonts w:hAnsi="Courier New"/>
      <w:kern w:val="0"/>
      <w:sz w:val="20"/>
      <w:szCs w:val="21"/>
      <w:lang w:val="zh-CN"/>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
    <w:basedOn w:val="1"/>
    <w:link w:val="9"/>
    <w:qFormat/>
    <w:uiPriority w:val="0"/>
    <w:pPr>
      <w:spacing w:line="360" w:lineRule="auto"/>
      <w:ind w:firstLine="480" w:firstLineChars="200"/>
      <w:jc w:val="left"/>
    </w:pPr>
    <w:rPr>
      <w:rFonts w:ascii="宋体" w:hAnsi="宋体" w:eastAsia="宋体" w:cs="Times New Roman"/>
      <w:snapToGrid w:val="0"/>
      <w:sz w:val="24"/>
      <w:szCs w:val="21"/>
      <w:lang w:val="zh-CN"/>
    </w:rPr>
  </w:style>
  <w:style w:type="character" w:customStyle="1" w:styleId="9">
    <w:name w:val="*正文 Char"/>
    <w:link w:val="8"/>
    <w:qFormat/>
    <w:uiPriority w:val="0"/>
    <w:rPr>
      <w:rFonts w:ascii="宋体" w:hAnsi="宋体" w:eastAsia="宋体" w:cs="Times New Roman"/>
      <w:snapToGrid w:val="0"/>
      <w:kern w:val="2"/>
      <w:sz w:val="24"/>
      <w:szCs w:val="21"/>
      <w:lang w:val="zh-CN"/>
    </w:rPr>
  </w:style>
  <w:style w:type="paragraph" w:customStyle="1" w:styleId="10">
    <w:name w:val="列出段落1"/>
    <w:unhideWhenUsed/>
    <w:qFormat/>
    <w:uiPriority w:val="34"/>
    <w:pPr>
      <w:ind w:firstLine="420" w:firstLineChars="200"/>
    </w:pPr>
    <w:rPr>
      <w:rFonts w:ascii="Times New Roman" w:hAnsi="Times New Roman" w:eastAsia="宋体" w:cs="Times New Roman"/>
      <w:sz w:val="24"/>
      <w:lang w:val="en-US" w:eastAsia="zh-CN" w:bidi="ar-SA"/>
    </w:rPr>
  </w:style>
  <w:style w:type="character" w:customStyle="1" w:styleId="11">
    <w:name w:val="页眉 Char"/>
    <w:basedOn w:val="7"/>
    <w:link w:val="4"/>
    <w:qFormat/>
    <w:uiPriority w:val="0"/>
    <w:rPr>
      <w:rFonts w:eastAsia="仿宋_GB2312" w:asciiTheme="minorHAnsi" w:hAnsiTheme="minorHAnsi" w:cstheme="minorBidi"/>
      <w:kern w:val="2"/>
      <w:sz w:val="18"/>
      <w:szCs w:val="18"/>
    </w:rPr>
  </w:style>
  <w:style w:type="character" w:customStyle="1" w:styleId="12">
    <w:name w:val="页脚 Char"/>
    <w:basedOn w:val="7"/>
    <w:link w:val="3"/>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547</Words>
  <Characters>3121</Characters>
  <Lines>26</Lines>
  <Paragraphs>7</Paragraphs>
  <TotalTime>5</TotalTime>
  <ScaleCrop>false</ScaleCrop>
  <LinksUpToDate>false</LinksUpToDate>
  <CharactersWithSpaces>3661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2020-04-15T01:49:00Z</dcterms:created>
  <dc:creator>jyjcg</dc:creator>
  <cp:lastModifiedBy>DELL</cp:lastModifiedBy>
  <cp:lastPrinted>2020-03-17T03:50:00Z</cp:lastPrinted>
  <dcterms:modified xsi:type="dcterms:W3CDTF">2021-09-01T03:33:10Z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B12437229A6746C6A5F20897A83ED4C1</vt:lpwstr>
  </property>
</Properties>
</file>