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吴家营街道办事处</w:t>
      </w:r>
    </w:p>
    <w:p>
      <w:pPr>
        <w:spacing w:line="560" w:lineRule="exact"/>
        <w:jc w:val="center"/>
        <w:rPr>
          <w:rFonts w:ascii="方正小标宋_GBK" w:eastAsia="方正小标宋_GBK"/>
          <w:sz w:val="44"/>
          <w:szCs w:val="44"/>
        </w:rPr>
      </w:pPr>
      <w:r>
        <w:rPr>
          <w:rFonts w:hint="eastAsia" w:ascii="方正小标宋简体" w:eastAsia="方正小标宋简体"/>
          <w:sz w:val="44"/>
          <w:szCs w:val="44"/>
          <w:lang w:val="en-US" w:eastAsia="zh-CN"/>
        </w:rPr>
        <w:t>2020年</w:t>
      </w:r>
      <w:bookmarkStart w:id="0" w:name="_GoBack"/>
      <w:bookmarkEnd w:id="0"/>
      <w:r>
        <w:rPr>
          <w:rFonts w:hint="eastAsia" w:ascii="方正小标宋简体" w:eastAsia="方正小标宋简体"/>
          <w:sz w:val="44"/>
          <w:szCs w:val="44"/>
        </w:rPr>
        <w:t>党建资金项目支出绩效评价报告</w:t>
      </w:r>
      <w:r>
        <w:rPr>
          <w:rFonts w:ascii="方正小标宋_GBK" w:eastAsia="方正小标宋_GBK"/>
          <w:sz w:val="44"/>
          <w:szCs w:val="44"/>
        </w:rPr>
        <w:t xml:space="preserve"> </w:t>
      </w:r>
    </w:p>
    <w:p>
      <w:pPr>
        <w:spacing w:line="560" w:lineRule="exact"/>
        <w:rPr>
          <w:rFonts w:ascii="黑体" w:eastAsia="黑体"/>
          <w:szCs w:val="32"/>
        </w:rPr>
      </w:pPr>
      <w:r>
        <w:rPr>
          <w:rFonts w:hint="eastAsia" w:ascii="黑体" w:eastAsia="黑体"/>
          <w:szCs w:val="32"/>
        </w:rPr>
        <w:t>　　</w:t>
      </w:r>
    </w:p>
    <w:p>
      <w:pPr>
        <w:spacing w:line="560" w:lineRule="exact"/>
        <w:rPr>
          <w:rFonts w:ascii="黑体" w:eastAsia="黑体"/>
          <w:szCs w:val="32"/>
        </w:rPr>
      </w:pPr>
      <w:r>
        <w:rPr>
          <w:rFonts w:hint="eastAsia" w:ascii="黑体" w:eastAsia="黑体"/>
          <w:szCs w:val="32"/>
        </w:rPr>
        <w:t>　　一、基本情况</w:t>
      </w:r>
    </w:p>
    <w:p>
      <w:pPr>
        <w:topLinePunct/>
        <w:spacing w:line="560" w:lineRule="exact"/>
        <w:ind w:firstLine="594" w:firstLineChars="200"/>
        <w:rPr>
          <w:rFonts w:ascii="楷体_GB2312" w:eastAsia="楷体_GB2312"/>
          <w:szCs w:val="32"/>
        </w:rPr>
      </w:pPr>
      <w:r>
        <w:rPr>
          <w:rFonts w:hint="eastAsia" w:ascii="楷体_GB2312" w:eastAsia="楷体_GB2312"/>
          <w:szCs w:val="32"/>
        </w:rPr>
        <w:t>（一）项目概况</w:t>
      </w:r>
    </w:p>
    <w:p>
      <w:pPr>
        <w:snapToGrid w:val="0"/>
        <w:spacing w:line="560" w:lineRule="exact"/>
        <w:ind w:firstLine="594" w:firstLineChars="200"/>
        <w:rPr>
          <w:rFonts w:ascii="仿宋_GB2312"/>
          <w:szCs w:val="32"/>
        </w:rPr>
      </w:pPr>
      <w:r>
        <w:rPr>
          <w:rFonts w:ascii="仿宋_GB2312" w:hAnsi="Times New Roman"/>
          <w:kern w:val="0"/>
          <w:szCs w:val="32"/>
        </w:rPr>
        <w:t>20</w:t>
      </w:r>
      <w:r>
        <w:rPr>
          <w:rFonts w:hint="eastAsia" w:ascii="仿宋_GB2312" w:hAnsi="Times New Roman"/>
          <w:kern w:val="0"/>
          <w:szCs w:val="32"/>
        </w:rPr>
        <w:t>20年</w:t>
      </w:r>
      <w:r>
        <w:rPr>
          <w:rFonts w:hint="eastAsia" w:ascii="仿宋_GB2312"/>
          <w:kern w:val="0"/>
          <w:szCs w:val="32"/>
        </w:rPr>
        <w:t>，吴家营街道切实抓实抓牢“基层党建创新提质年”各项任务目标，</w:t>
      </w:r>
      <w:r>
        <w:rPr>
          <w:rFonts w:hint="eastAsia" w:ascii="仿宋_GB2312" w:hAnsi="仿宋_GB2312"/>
          <w:szCs w:val="32"/>
        </w:rPr>
        <w:t>深化</w:t>
      </w:r>
      <w:r>
        <w:rPr>
          <w:rFonts w:hint="eastAsia" w:ascii="仿宋_GB2312"/>
          <w:szCs w:val="32"/>
        </w:rPr>
        <w:t>“</w:t>
      </w:r>
      <w:r>
        <w:rPr>
          <w:rFonts w:hint="eastAsia" w:ascii="仿宋_GB2312" w:hAnsi="仿宋_GB2312"/>
          <w:szCs w:val="32"/>
        </w:rPr>
        <w:t>两学一做</w:t>
      </w:r>
      <w:r>
        <w:rPr>
          <w:rFonts w:hint="eastAsia" w:ascii="仿宋_GB2312"/>
          <w:szCs w:val="32"/>
        </w:rPr>
        <w:t>”</w:t>
      </w:r>
      <w:r>
        <w:rPr>
          <w:rFonts w:hint="eastAsia" w:ascii="仿宋_GB2312" w:hAnsi="仿宋_GB2312"/>
          <w:szCs w:val="32"/>
        </w:rPr>
        <w:t>学习教育常态化制度化，全面开展“不忘初心、牢记使命”主题教育，对标对表实施支部规范化建设，聚焦主业、精准施策，</w:t>
      </w:r>
      <w:r>
        <w:rPr>
          <w:rFonts w:hint="eastAsia" w:ascii="仿宋_GB2312" w:hAnsi="Times New Roman"/>
          <w:szCs w:val="32"/>
        </w:rPr>
        <w:t>深入实施“村改居”社区党建引领发展工程，发挥社区党组织核心地位，着力解决村改居社区党组织干部队伍结构不合理，年轻干部少，党组织服务功能不强，转型升级不快等问题。</w:t>
      </w:r>
      <w:r>
        <w:rPr>
          <w:rFonts w:hint="eastAsia" w:ascii="仿宋_GB2312" w:hAnsi="Times New Roman"/>
          <w:b/>
          <w:bCs/>
          <w:szCs w:val="32"/>
        </w:rPr>
        <w:t>一是</w:t>
      </w:r>
      <w:r>
        <w:rPr>
          <w:rFonts w:hint="eastAsia" w:ascii="仿宋_GB2312"/>
          <w:kern w:val="0"/>
          <w:szCs w:val="32"/>
        </w:rPr>
        <w:t>全面加强党的政治建设，不断提升政治功能，全面展开“不忘初心、牢记使命”主题教育，并将</w:t>
      </w:r>
      <w:r>
        <w:rPr>
          <w:rFonts w:hint="eastAsia" w:ascii="仿宋_GB2312" w:hAnsi="仿宋_GB2312" w:cs="仿宋_GB2312"/>
          <w:szCs w:val="32"/>
        </w:rPr>
        <w:t>专项整治扣紧民生关注与经济社会发展；</w:t>
      </w:r>
      <w:r>
        <w:rPr>
          <w:rFonts w:hint="eastAsia" w:ascii="仿宋_GB2312" w:hAnsi="仿宋_GB2312" w:cs="仿宋_GB2312"/>
          <w:b/>
          <w:szCs w:val="32"/>
        </w:rPr>
        <w:t>二是</w:t>
      </w:r>
      <w:r>
        <w:rPr>
          <w:rFonts w:hint="eastAsia" w:ascii="仿宋_GB2312"/>
          <w:kern w:val="0"/>
          <w:szCs w:val="32"/>
        </w:rPr>
        <w:t>持续深化</w:t>
      </w:r>
      <w:r>
        <w:rPr>
          <w:rFonts w:hint="eastAsia" w:ascii="仿宋_GB2312"/>
          <w:bCs/>
          <w:kern w:val="0"/>
          <w:szCs w:val="32"/>
        </w:rPr>
        <w:t>“</w:t>
      </w:r>
      <w:r>
        <w:rPr>
          <w:rFonts w:hint="eastAsia" w:ascii="仿宋_GB2312"/>
          <w:kern w:val="0"/>
          <w:szCs w:val="32"/>
        </w:rPr>
        <w:t>两学一做</w:t>
      </w:r>
      <w:r>
        <w:rPr>
          <w:rFonts w:hint="eastAsia" w:ascii="仿宋_GB2312"/>
          <w:bCs/>
          <w:kern w:val="0"/>
          <w:szCs w:val="32"/>
        </w:rPr>
        <w:t>”</w:t>
      </w:r>
      <w:r>
        <w:rPr>
          <w:rFonts w:hint="eastAsia" w:ascii="仿宋_GB2312" w:hAnsi="仿宋_GB2312"/>
          <w:szCs w:val="32"/>
        </w:rPr>
        <w:t>，抓牢街道党校</w:t>
      </w:r>
      <w:r>
        <w:rPr>
          <w:rFonts w:hint="eastAsia" w:ascii="仿宋_GB2312" w:hAnsi="仿宋_GB2312" w:cs="仿宋_GB2312"/>
        </w:rPr>
        <w:t>理想信念教育阵地</w:t>
      </w:r>
      <w:r>
        <w:rPr>
          <w:rFonts w:hint="eastAsia" w:ascii="仿宋_GB2312" w:hAnsi="仿宋_GB2312"/>
          <w:szCs w:val="32"/>
        </w:rPr>
        <w:t>作用，</w:t>
      </w:r>
      <w:r>
        <w:rPr>
          <w:rFonts w:hint="eastAsia" w:ascii="仿宋_GB2312" w:cs="仿宋_GB2312"/>
          <w:kern w:val="0"/>
          <w:szCs w:val="32"/>
          <w:lang w:val="zh-CN"/>
        </w:rPr>
        <w:t>抓牢抓好抓实</w:t>
      </w:r>
      <w:r>
        <w:rPr>
          <w:rFonts w:ascii="仿宋_GB2312" w:cs="仿宋_GB2312"/>
          <w:kern w:val="0"/>
          <w:szCs w:val="32"/>
          <w:lang w:val="zh-CN"/>
        </w:rPr>
        <w:t xml:space="preserve"> </w:t>
      </w:r>
      <w:r>
        <w:rPr>
          <w:rFonts w:hint="eastAsia" w:ascii="仿宋_GB2312" w:cs="仿宋_GB2312"/>
          <w:kern w:val="0"/>
          <w:szCs w:val="32"/>
          <w:lang w:val="zh-CN"/>
        </w:rPr>
        <w:t>“万名党员进党校”工作。</w:t>
      </w:r>
      <w:r>
        <w:rPr>
          <w:rFonts w:hint="eastAsia" w:ascii="仿宋_GB2312" w:cs="仿宋_GB2312"/>
          <w:b/>
          <w:kern w:val="0"/>
          <w:szCs w:val="32"/>
          <w:lang w:val="zh-CN"/>
        </w:rPr>
        <w:t>三是</w:t>
      </w:r>
      <w:r>
        <w:rPr>
          <w:rFonts w:hint="eastAsia" w:ascii="仿宋_GB2312" w:cs="Calibri"/>
          <w:kern w:val="0"/>
          <w:szCs w:val="32"/>
        </w:rPr>
        <w:t>大力实施</w:t>
      </w:r>
      <w:r>
        <w:rPr>
          <w:rFonts w:hint="eastAsia" w:ascii="仿宋_GB2312"/>
          <w:bCs/>
          <w:szCs w:val="32"/>
        </w:rPr>
        <w:t>党支部规划化建设，</w:t>
      </w:r>
      <w:r>
        <w:rPr>
          <w:rFonts w:hint="eastAsia" w:ascii="仿宋_GB2312"/>
        </w:rPr>
        <w:t>认真开展分类定级工作，</w:t>
      </w:r>
      <w:r>
        <w:rPr>
          <w:rFonts w:hint="eastAsia" w:ascii="仿宋_GB2312"/>
          <w:color w:val="000000"/>
          <w:szCs w:val="32"/>
        </w:rPr>
        <w:t>积极实施优秀年轻干部培养和储备力度，选优配强各领域基层党务干部队伍，全面加强基层党组织“带头人”队伍建设；</w:t>
      </w:r>
      <w:r>
        <w:rPr>
          <w:rFonts w:hint="eastAsia" w:ascii="仿宋_GB2312"/>
          <w:b/>
          <w:color w:val="000000"/>
          <w:szCs w:val="32"/>
        </w:rPr>
        <w:t>四是</w:t>
      </w:r>
      <w:r>
        <w:rPr>
          <w:rFonts w:hint="eastAsia" w:ascii="仿宋_GB2312" w:hAnsi="仿宋_GB2312" w:cs="仿宋_GB2312"/>
        </w:rPr>
        <w:t>按照</w:t>
      </w:r>
      <w:r>
        <w:rPr>
          <w:rFonts w:hint="eastAsia" w:ascii="仿宋_GB2312" w:cs="仿宋_GB2312"/>
        </w:rPr>
        <w:t>“</w:t>
      </w:r>
      <w:r>
        <w:rPr>
          <w:rFonts w:hint="eastAsia" w:ascii="仿宋_GB2312" w:hAnsi="仿宋_GB2312" w:cs="仿宋_GB2312"/>
        </w:rPr>
        <w:t>整合功能、因地制宜、规范节俭、一校多用</w:t>
      </w:r>
      <w:r>
        <w:rPr>
          <w:rFonts w:hint="eastAsia" w:ascii="仿宋_GB2312" w:cs="仿宋_GB2312"/>
        </w:rPr>
        <w:t>”</w:t>
      </w:r>
      <w:r>
        <w:rPr>
          <w:rFonts w:hint="eastAsia" w:ascii="仿宋_GB2312" w:hAnsi="仿宋_GB2312" w:cs="仿宋_GB2312"/>
        </w:rPr>
        <w:t>的原则，加强党员教育活动场地建设、管理和使用。</w:t>
      </w:r>
      <w:r>
        <w:rPr>
          <w:rFonts w:hint="eastAsia" w:ascii="仿宋_GB2312" w:hAnsi="仿宋_GB2312" w:cs="仿宋_GB2312"/>
          <w:b/>
        </w:rPr>
        <w:t>五是</w:t>
      </w:r>
      <w:r>
        <w:rPr>
          <w:rFonts w:hint="eastAsia" w:ascii="仿宋_GB2312" w:hAnsi="仿宋_GB2312"/>
          <w:szCs w:val="32"/>
        </w:rPr>
        <w:t>优化组织体系建设，</w:t>
      </w:r>
      <w:r>
        <w:rPr>
          <w:rFonts w:hint="eastAsia" w:ascii="仿宋_GB2312"/>
          <w:color w:val="000000"/>
        </w:rPr>
        <w:t>积极探索“街乡吹哨，部门报到”机制与街道党建联盟和社区“大党委”建设，</w:t>
      </w:r>
      <w:r>
        <w:rPr>
          <w:rFonts w:hint="eastAsia" w:ascii="仿宋_GB2312" w:hAnsi="仿宋_GB2312"/>
          <w:szCs w:val="32"/>
        </w:rPr>
        <w:t>切实推动“两新”组织“两个覆盖”</w:t>
      </w:r>
      <w:r>
        <w:rPr>
          <w:rFonts w:hint="eastAsia" w:ascii="仿宋_GB2312"/>
          <w:color w:val="000000"/>
        </w:rPr>
        <w:t>。</w:t>
      </w:r>
    </w:p>
    <w:p>
      <w:pPr>
        <w:topLinePunct/>
        <w:spacing w:line="560" w:lineRule="exact"/>
        <w:ind w:firstLine="594" w:firstLineChars="200"/>
        <w:rPr>
          <w:rFonts w:ascii="楷体_GB2312" w:eastAsia="楷体_GB2312"/>
          <w:szCs w:val="32"/>
        </w:rPr>
      </w:pPr>
      <w:r>
        <w:rPr>
          <w:rFonts w:hint="eastAsia" w:ascii="楷体_GB2312" w:eastAsia="楷体_GB2312"/>
          <w:szCs w:val="32"/>
        </w:rPr>
        <w:t>（二）项目绩效目标</w:t>
      </w:r>
    </w:p>
    <w:p>
      <w:pPr>
        <w:snapToGrid w:val="0"/>
        <w:spacing w:line="560" w:lineRule="exact"/>
        <w:ind w:firstLine="594" w:firstLineChars="200"/>
        <w:rPr>
          <w:rFonts w:ascii="仿宋_GB2312" w:hAnsi="Times New Roman"/>
          <w:kern w:val="0"/>
          <w:szCs w:val="32"/>
        </w:rPr>
      </w:pPr>
      <w:r>
        <w:rPr>
          <w:rFonts w:hint="eastAsia" w:ascii="仿宋_GB2312" w:hAnsi="宋体"/>
          <w:szCs w:val="32"/>
        </w:rPr>
        <w:t>按照《呈贡区实施按实际支出下达部门预算项目支出资金试点工作方案》</w:t>
      </w:r>
      <w:r>
        <w:rPr>
          <w:rFonts w:hint="eastAsia" w:ascii="仿宋_GB2312" w:hAnsi="Times New Roman"/>
          <w:kern w:val="0"/>
          <w:szCs w:val="32"/>
        </w:rPr>
        <w:t>（呈政办发﹝</w:t>
      </w:r>
      <w:r>
        <w:rPr>
          <w:rFonts w:ascii="仿宋_GB2312" w:hAnsi="Times New Roman"/>
          <w:kern w:val="0"/>
          <w:szCs w:val="32"/>
        </w:rPr>
        <w:t>20</w:t>
      </w:r>
      <w:r>
        <w:rPr>
          <w:rFonts w:hint="eastAsia" w:ascii="仿宋_GB2312" w:hAnsi="Times New Roman"/>
          <w:kern w:val="0"/>
          <w:szCs w:val="32"/>
        </w:rPr>
        <w:t>20﹞</w:t>
      </w:r>
      <w:r>
        <w:rPr>
          <w:rFonts w:ascii="仿宋_GB2312" w:hAnsi="Times New Roman"/>
          <w:kern w:val="0"/>
          <w:szCs w:val="32"/>
        </w:rPr>
        <w:t>49</w:t>
      </w:r>
      <w:r>
        <w:rPr>
          <w:rFonts w:hint="eastAsia" w:ascii="仿宋_GB2312" w:hAnsi="Times New Roman"/>
          <w:kern w:val="0"/>
          <w:szCs w:val="32"/>
        </w:rPr>
        <w:t>号）要求，区委组织部、区财政局对吴家营街道下达了</w:t>
      </w:r>
      <w:r>
        <w:rPr>
          <w:rFonts w:ascii="仿宋_GB2312" w:hAnsi="Times New Roman"/>
          <w:kern w:val="0"/>
          <w:szCs w:val="32"/>
        </w:rPr>
        <w:t>20</w:t>
      </w:r>
      <w:r>
        <w:rPr>
          <w:rFonts w:hint="eastAsia" w:ascii="仿宋_GB2312" w:hAnsi="Times New Roman"/>
          <w:kern w:val="0"/>
          <w:szCs w:val="32"/>
        </w:rPr>
        <w:t>20年度区级财政预算安排的吴家营街道党建工作经费项目。</w:t>
      </w:r>
    </w:p>
    <w:p>
      <w:pPr>
        <w:snapToGrid w:val="0"/>
        <w:spacing w:line="560" w:lineRule="exact"/>
        <w:ind w:firstLine="594" w:firstLineChars="200"/>
        <w:rPr>
          <w:rFonts w:ascii="黑体" w:hAnsi="黑体" w:eastAsia="黑体"/>
          <w:kern w:val="0"/>
          <w:szCs w:val="32"/>
        </w:rPr>
      </w:pPr>
      <w:r>
        <w:rPr>
          <w:rFonts w:hint="eastAsia" w:ascii="黑体" w:hAnsi="黑体" w:eastAsia="黑体"/>
          <w:kern w:val="0"/>
          <w:szCs w:val="32"/>
        </w:rPr>
        <w:t>二、项目单位绩效报告情况</w:t>
      </w:r>
    </w:p>
    <w:p>
      <w:pPr>
        <w:snapToGrid w:val="0"/>
        <w:spacing w:line="560" w:lineRule="exact"/>
        <w:ind w:firstLine="594" w:firstLineChars="200"/>
        <w:rPr>
          <w:rFonts w:ascii="仿宋_GB2312" w:hAnsi="Times New Roman"/>
          <w:kern w:val="0"/>
          <w:szCs w:val="32"/>
        </w:rPr>
      </w:pPr>
      <w:r>
        <w:rPr>
          <w:rFonts w:ascii="仿宋_GB2312" w:hAnsi="Times New Roman"/>
          <w:kern w:val="0"/>
          <w:szCs w:val="32"/>
        </w:rPr>
        <w:t xml:space="preserve"> </w:t>
      </w:r>
      <w:r>
        <w:rPr>
          <w:rFonts w:hint="eastAsia" w:ascii="仿宋_GB2312" w:hAnsi="Times New Roman"/>
          <w:kern w:val="0"/>
          <w:szCs w:val="32"/>
        </w:rPr>
        <w:t>项目单位建立健全项目实施预算方案、财务管理制度和会计核算制度，此次绩效评价过程中未发现有截留、挤占或挪用项目资金的情况。</w:t>
      </w:r>
    </w:p>
    <w:p>
      <w:pPr>
        <w:snapToGrid w:val="0"/>
        <w:spacing w:line="560" w:lineRule="exact"/>
        <w:ind w:firstLine="594" w:firstLineChars="200"/>
        <w:rPr>
          <w:rFonts w:ascii="黑体" w:hAnsi="黑体" w:eastAsia="黑体"/>
          <w:kern w:val="0"/>
          <w:szCs w:val="32"/>
        </w:rPr>
      </w:pPr>
      <w:r>
        <w:rPr>
          <w:rFonts w:hint="eastAsia" w:ascii="黑体" w:hAnsi="黑体" w:eastAsia="黑体"/>
          <w:kern w:val="0"/>
          <w:szCs w:val="32"/>
        </w:rPr>
        <w:t>三、绩效评价工作情况</w:t>
      </w:r>
    </w:p>
    <w:p>
      <w:pPr>
        <w:snapToGrid w:val="0"/>
        <w:spacing w:line="560" w:lineRule="exact"/>
        <w:ind w:firstLine="594" w:firstLineChars="200"/>
        <w:rPr>
          <w:rFonts w:ascii="楷体_GB2312" w:hAnsi="Times New Roman" w:eastAsia="楷体_GB2312"/>
          <w:kern w:val="0"/>
          <w:szCs w:val="32"/>
        </w:rPr>
      </w:pPr>
      <w:r>
        <w:rPr>
          <w:rFonts w:hint="eastAsia" w:ascii="楷体_GB2312" w:hAnsi="Times New Roman" w:eastAsia="楷体_GB2312"/>
          <w:kern w:val="0"/>
          <w:szCs w:val="32"/>
        </w:rPr>
        <w:t>（一）绩效评价目的</w:t>
      </w:r>
    </w:p>
    <w:p>
      <w:pPr>
        <w:snapToGrid w:val="0"/>
        <w:spacing w:line="560" w:lineRule="exact"/>
        <w:ind w:firstLine="594" w:firstLineChars="200"/>
        <w:rPr>
          <w:rFonts w:ascii="仿宋_GB2312" w:hAnsi="Times New Roman"/>
          <w:kern w:val="0"/>
          <w:szCs w:val="32"/>
        </w:rPr>
      </w:pPr>
      <w:r>
        <w:rPr>
          <w:rFonts w:hint="eastAsia" w:ascii="仿宋_GB2312" w:hAnsi="Times New Roman"/>
          <w:kern w:val="0"/>
          <w:szCs w:val="32"/>
        </w:rPr>
        <w:t>街道党建经费项目支出绩效评价是为了加强财政支出管理，提高财政资金使用效益，发挥财政资金对街道所属各基层党建项目的支持作用，规范财政资金使用。</w:t>
      </w:r>
    </w:p>
    <w:p>
      <w:pPr>
        <w:snapToGrid w:val="0"/>
        <w:spacing w:line="560" w:lineRule="exact"/>
        <w:ind w:firstLine="594" w:firstLineChars="200"/>
        <w:rPr>
          <w:rFonts w:ascii="楷体_GB2312" w:hAnsi="Times New Roman" w:eastAsia="楷体_GB2312"/>
          <w:bCs/>
          <w:kern w:val="0"/>
        </w:rPr>
      </w:pPr>
      <w:r>
        <w:rPr>
          <w:rFonts w:hint="eastAsia" w:ascii="楷体_GB2312" w:hAnsi="Times New Roman" w:eastAsia="楷体_GB2312"/>
          <w:bCs/>
          <w:kern w:val="0"/>
        </w:rPr>
        <w:t>（二）绩效评价的原则、评价指标体系、评价方法</w:t>
      </w:r>
    </w:p>
    <w:p>
      <w:pPr>
        <w:snapToGrid w:val="0"/>
        <w:spacing w:line="560" w:lineRule="exact"/>
        <w:ind w:firstLine="594" w:firstLineChars="200"/>
        <w:rPr>
          <w:rFonts w:ascii="仿宋_GB2312" w:hAnsi="Times New Roman"/>
          <w:bCs/>
          <w:kern w:val="0"/>
        </w:rPr>
      </w:pPr>
      <w:r>
        <w:rPr>
          <w:rFonts w:hint="eastAsia" w:ascii="仿宋_GB2312" w:hAnsi="Times New Roman"/>
          <w:bCs/>
          <w:kern w:val="0"/>
        </w:rPr>
        <w:t>按《预算法》的规定，设立绩效评价体系及评价方法。</w:t>
      </w:r>
    </w:p>
    <w:p>
      <w:pPr>
        <w:snapToGrid w:val="0"/>
        <w:spacing w:line="560" w:lineRule="exact"/>
        <w:ind w:firstLine="594" w:firstLineChars="200"/>
        <w:rPr>
          <w:rFonts w:ascii="楷体_GB2312" w:hAnsi="Times New Roman" w:eastAsia="楷体_GB2312"/>
          <w:bCs/>
          <w:kern w:val="0"/>
        </w:rPr>
      </w:pPr>
      <w:r>
        <w:rPr>
          <w:rFonts w:hint="eastAsia" w:ascii="楷体_GB2312" w:hAnsi="Times New Roman" w:eastAsia="楷体_GB2312"/>
          <w:bCs/>
          <w:kern w:val="0"/>
        </w:rPr>
        <w:t>（三）绩效评价工作过程</w:t>
      </w:r>
    </w:p>
    <w:p>
      <w:pPr>
        <w:snapToGrid w:val="0"/>
        <w:spacing w:line="560" w:lineRule="exact"/>
        <w:ind w:firstLine="594" w:firstLineChars="200"/>
        <w:rPr>
          <w:rFonts w:ascii="仿宋_GB2312" w:hAnsi="Times New Roman"/>
          <w:bCs/>
          <w:kern w:val="0"/>
        </w:rPr>
      </w:pPr>
      <w:r>
        <w:rPr>
          <w:rFonts w:hint="eastAsia" w:ascii="仿宋_GB2312" w:hAnsi="Times New Roman"/>
          <w:bCs/>
          <w:kern w:val="0"/>
        </w:rPr>
        <w:t>街道成立绩效评价工作小组，负责对绩效评价工作的组织领导和具体实施，做好绩效评价的前期准备工作，主要包括拟定绩效评价方案，选取合适的绩效评价方式，设计绩效评价指标体系等。绩效评价小组按上级相关部门要求开展工作，保证工作按时完成。</w:t>
      </w:r>
    </w:p>
    <w:p>
      <w:pPr>
        <w:snapToGrid w:val="0"/>
        <w:spacing w:line="560" w:lineRule="exact"/>
        <w:ind w:firstLine="594" w:firstLineChars="200"/>
        <w:rPr>
          <w:rFonts w:ascii="黑体" w:hAnsi="黑体" w:eastAsia="黑体"/>
          <w:kern w:val="0"/>
          <w:szCs w:val="32"/>
        </w:rPr>
      </w:pPr>
      <w:r>
        <w:rPr>
          <w:rFonts w:hint="eastAsia" w:ascii="黑体" w:hAnsi="黑体" w:eastAsia="黑体"/>
          <w:kern w:val="0"/>
          <w:szCs w:val="32"/>
        </w:rPr>
        <w:t>四、绩效评价指标分析情况</w:t>
      </w:r>
    </w:p>
    <w:p>
      <w:pPr>
        <w:snapToGrid w:val="0"/>
        <w:spacing w:line="560" w:lineRule="exact"/>
        <w:ind w:firstLine="594" w:firstLineChars="200"/>
        <w:rPr>
          <w:rFonts w:ascii="楷体_GB2312" w:hAnsi="Times New Roman" w:eastAsia="楷体_GB2312"/>
          <w:kern w:val="0"/>
          <w:szCs w:val="32"/>
        </w:rPr>
      </w:pPr>
      <w:r>
        <w:rPr>
          <w:rFonts w:hint="eastAsia" w:ascii="楷体_GB2312" w:hAnsi="Times New Roman" w:eastAsia="楷体_GB2312"/>
          <w:kern w:val="0"/>
          <w:szCs w:val="32"/>
        </w:rPr>
        <w:t>（一）项目资金情况分析</w:t>
      </w:r>
    </w:p>
    <w:p>
      <w:pPr>
        <w:snapToGrid w:val="0"/>
        <w:spacing w:line="560" w:lineRule="exact"/>
        <w:ind w:firstLine="594" w:firstLineChars="200"/>
        <w:rPr>
          <w:rFonts w:ascii="仿宋_GB2312" w:hAnsi="Times New Roman"/>
          <w:kern w:val="0"/>
          <w:szCs w:val="32"/>
        </w:rPr>
      </w:pPr>
      <w:r>
        <w:rPr>
          <w:rFonts w:ascii="仿宋_GB2312" w:hAnsi="Times New Roman"/>
          <w:kern w:val="0"/>
          <w:szCs w:val="32"/>
        </w:rPr>
        <w:t>20</w:t>
      </w:r>
      <w:r>
        <w:rPr>
          <w:rFonts w:hint="eastAsia" w:ascii="仿宋_GB2312" w:hAnsi="Times New Roman"/>
          <w:kern w:val="0"/>
          <w:szCs w:val="32"/>
        </w:rPr>
        <w:t>20年，吴家营街道党建经费项目中投入277.22万元，其中：村改居社区党建工作经费178.6万元、城市社区党建工作经费</w:t>
      </w:r>
      <w:r>
        <w:rPr>
          <w:rFonts w:ascii="仿宋_GB2312" w:hAnsi="Times New Roman"/>
          <w:kern w:val="0"/>
          <w:szCs w:val="32"/>
        </w:rPr>
        <w:t>85</w:t>
      </w:r>
      <w:r>
        <w:rPr>
          <w:rFonts w:hint="eastAsia" w:ascii="仿宋_GB2312" w:hAnsi="Times New Roman"/>
          <w:kern w:val="0"/>
          <w:szCs w:val="32"/>
        </w:rPr>
        <w:t>.</w:t>
      </w:r>
      <w:r>
        <w:rPr>
          <w:rFonts w:ascii="仿宋_GB2312" w:hAnsi="Times New Roman"/>
          <w:kern w:val="0"/>
          <w:szCs w:val="32"/>
        </w:rPr>
        <w:t>5</w:t>
      </w:r>
      <w:r>
        <w:rPr>
          <w:rFonts w:hint="eastAsia" w:ascii="仿宋_GB2312" w:hAnsi="Times New Roman"/>
          <w:kern w:val="0"/>
          <w:szCs w:val="32"/>
        </w:rPr>
        <w:t>万元、街道党建工作经费</w:t>
      </w:r>
      <w:r>
        <w:rPr>
          <w:rFonts w:ascii="仿宋_GB2312" w:hAnsi="Times New Roman"/>
          <w:kern w:val="0"/>
          <w:szCs w:val="32"/>
        </w:rPr>
        <w:t>10</w:t>
      </w:r>
      <w:r>
        <w:rPr>
          <w:rFonts w:hint="eastAsia" w:ascii="仿宋_GB2312" w:hAnsi="Times New Roman"/>
          <w:kern w:val="0"/>
          <w:szCs w:val="32"/>
        </w:rPr>
        <w:t>万元、基层党建工作经费</w:t>
      </w:r>
      <w:r>
        <w:rPr>
          <w:rFonts w:ascii="仿宋_GB2312" w:hAnsi="Times New Roman"/>
          <w:kern w:val="0"/>
          <w:szCs w:val="32"/>
        </w:rPr>
        <w:t>3</w:t>
      </w:r>
      <w:r>
        <w:rPr>
          <w:rFonts w:hint="eastAsia" w:ascii="仿宋_GB2312" w:hAnsi="Times New Roman"/>
          <w:kern w:val="0"/>
          <w:szCs w:val="32"/>
        </w:rPr>
        <w:t>.</w:t>
      </w:r>
      <w:r>
        <w:rPr>
          <w:rFonts w:ascii="仿宋_GB2312" w:hAnsi="Times New Roman"/>
          <w:kern w:val="0"/>
          <w:szCs w:val="32"/>
        </w:rPr>
        <w:t>12</w:t>
      </w:r>
      <w:r>
        <w:rPr>
          <w:rFonts w:hint="eastAsia" w:ascii="仿宋_GB2312" w:hAnsi="Times New Roman"/>
          <w:kern w:val="0"/>
          <w:szCs w:val="32"/>
        </w:rPr>
        <w:t>万元。</w:t>
      </w:r>
      <w:r>
        <w:rPr>
          <w:rFonts w:ascii="仿宋_GB2312" w:hAnsi="Times New Roman"/>
          <w:kern w:val="0"/>
          <w:szCs w:val="32"/>
        </w:rPr>
        <w:t xml:space="preserve"> </w:t>
      </w:r>
    </w:p>
    <w:p>
      <w:pPr>
        <w:snapToGrid w:val="0"/>
        <w:spacing w:line="560" w:lineRule="exact"/>
        <w:ind w:firstLine="594" w:firstLineChars="200"/>
        <w:rPr>
          <w:rFonts w:ascii="仿宋_GB2312" w:hAnsi="Times New Roman"/>
          <w:kern w:val="0"/>
          <w:szCs w:val="32"/>
        </w:rPr>
      </w:pPr>
      <w:r>
        <w:rPr>
          <w:rFonts w:hint="eastAsia" w:ascii="仿宋_GB2312" w:hAnsi="Times New Roman"/>
          <w:kern w:val="0"/>
          <w:szCs w:val="32"/>
        </w:rPr>
        <w:t>以上专项资金，均用于</w:t>
      </w:r>
      <w:r>
        <w:rPr>
          <w:rFonts w:ascii="仿宋_GB2312" w:hAnsi="Times New Roman"/>
          <w:kern w:val="0"/>
          <w:szCs w:val="32"/>
        </w:rPr>
        <w:t>20</w:t>
      </w:r>
      <w:r>
        <w:rPr>
          <w:rFonts w:hint="eastAsia" w:ascii="仿宋_GB2312" w:hAnsi="Times New Roman"/>
          <w:kern w:val="0"/>
          <w:szCs w:val="32"/>
        </w:rPr>
        <w:t>20年吴家营街道党建工作。项目支出均有相关的授权审批，资金拨付严格审批程序，使用规范，会计核算结果真实、准确。项目实施预算方案、财务管理制度和会计核算制度建立健全，未发现有截留、挤占或挪用项目资金的情况。</w:t>
      </w:r>
    </w:p>
    <w:p>
      <w:pPr>
        <w:snapToGrid w:val="0"/>
        <w:spacing w:line="560" w:lineRule="exact"/>
        <w:ind w:firstLine="594" w:firstLineChars="200"/>
        <w:rPr>
          <w:rFonts w:ascii="楷体_GB2312" w:hAnsi="Times New Roman" w:eastAsia="楷体_GB2312"/>
          <w:kern w:val="0"/>
          <w:szCs w:val="32"/>
        </w:rPr>
      </w:pPr>
      <w:r>
        <w:rPr>
          <w:rFonts w:hint="eastAsia" w:ascii="楷体_GB2312" w:hAnsi="Times New Roman" w:eastAsia="楷体_GB2312"/>
          <w:kern w:val="0"/>
          <w:szCs w:val="32"/>
        </w:rPr>
        <w:t>（二）项目实施情况分析</w:t>
      </w:r>
    </w:p>
    <w:p>
      <w:pPr>
        <w:snapToGrid w:val="0"/>
        <w:spacing w:line="560" w:lineRule="exact"/>
        <w:ind w:firstLine="594" w:firstLineChars="200"/>
        <w:rPr>
          <w:rFonts w:ascii="Times New Roman" w:hAnsi="Times New Roman"/>
          <w:b/>
          <w:kern w:val="0"/>
          <w:szCs w:val="32"/>
        </w:rPr>
      </w:pPr>
      <w:r>
        <w:rPr>
          <w:rFonts w:ascii="Times New Roman" w:hAnsi="Times New Roman"/>
          <w:b/>
          <w:kern w:val="0"/>
          <w:szCs w:val="32"/>
        </w:rPr>
        <w:t>1</w:t>
      </w:r>
      <w:r>
        <w:rPr>
          <w:rFonts w:ascii="Times New Roman" w:hAnsi="Times New Roman"/>
          <w:b/>
          <w:kern w:val="0"/>
        </w:rPr>
        <w:t>.</w:t>
      </w:r>
      <w:r>
        <w:rPr>
          <w:rFonts w:hint="eastAsia" w:ascii="Times New Roman" w:hAnsi="Times New Roman"/>
          <w:b/>
          <w:kern w:val="0"/>
          <w:szCs w:val="32"/>
        </w:rPr>
        <w:t>项目组织情况分析</w:t>
      </w:r>
    </w:p>
    <w:p>
      <w:pPr>
        <w:snapToGrid w:val="0"/>
        <w:spacing w:line="560" w:lineRule="exact"/>
        <w:ind w:firstLine="594" w:firstLineChars="200"/>
        <w:rPr>
          <w:rFonts w:ascii="仿宋_GB2312" w:hAnsi="Times New Roman"/>
          <w:kern w:val="0"/>
          <w:szCs w:val="32"/>
        </w:rPr>
      </w:pPr>
      <w:r>
        <w:rPr>
          <w:rFonts w:hint="eastAsia" w:ascii="仿宋_GB2312" w:hAnsi="Times New Roman"/>
          <w:kern w:val="0"/>
          <w:szCs w:val="32"/>
        </w:rPr>
        <w:t>为做好“村改居”社区党建工作，成立党建工作领导小组和基层组织建设领导小组，建立党建联系制度，定期研究和通报基层党建工作。党工委书记负总责亲自抓，分管党建的副书记具体抓，各班子成员相互配合共同抓，形成齐抓共管的党建工作合力。</w:t>
      </w:r>
    </w:p>
    <w:p>
      <w:pPr>
        <w:snapToGrid w:val="0"/>
        <w:spacing w:line="560" w:lineRule="exact"/>
        <w:ind w:firstLine="594" w:firstLineChars="200"/>
        <w:rPr>
          <w:rFonts w:ascii="Times New Roman" w:hAnsi="Times New Roman"/>
          <w:b/>
          <w:kern w:val="0"/>
          <w:szCs w:val="32"/>
        </w:rPr>
      </w:pPr>
      <w:r>
        <w:rPr>
          <w:rFonts w:ascii="Times New Roman" w:hAnsi="Times New Roman"/>
          <w:b/>
          <w:kern w:val="0"/>
        </w:rPr>
        <w:t>2.</w:t>
      </w:r>
      <w:r>
        <w:rPr>
          <w:rFonts w:hint="eastAsia" w:ascii="Times New Roman" w:hAnsi="Times New Roman"/>
          <w:b/>
          <w:kern w:val="0"/>
        </w:rPr>
        <w:t>项目管理情况分析</w:t>
      </w:r>
    </w:p>
    <w:p>
      <w:pPr>
        <w:spacing w:line="560" w:lineRule="exact"/>
        <w:ind w:firstLine="594" w:firstLineChars="200"/>
        <w:rPr>
          <w:rStyle w:val="16"/>
          <w:b/>
          <w:bCs/>
          <w:kern w:val="0"/>
        </w:rPr>
      </w:pPr>
      <w:r>
        <w:rPr>
          <w:rFonts w:ascii="Times New Roman" w:hAnsi="Times New Roman"/>
          <w:b/>
          <w:bCs/>
          <w:szCs w:val="32"/>
        </w:rPr>
        <w:t>一是</w:t>
      </w:r>
      <w:r>
        <w:rPr>
          <w:rFonts w:ascii="Times New Roman" w:hAnsi="Times New Roman"/>
          <w:szCs w:val="32"/>
        </w:rPr>
        <w:t>注重统筹安排列入年度重点任务清单。将“不忘初心、牢记使命”主题教育纳入2020年基层党建工作重点任务，列入街道“万名党员进党校”“五个必学”，注重发挥思想建设正本清源、立根固本、补钙壮骨、凝心铸魂的作用，教育引导广大党员学思悟践，做习近平新时代中国特色社会主义思想的坚定信仰者、忠实实践者。</w:t>
      </w:r>
    </w:p>
    <w:p>
      <w:pPr>
        <w:adjustRightInd w:val="0"/>
        <w:snapToGrid w:val="0"/>
        <w:spacing w:line="560" w:lineRule="exact"/>
        <w:ind w:firstLine="594" w:firstLineChars="200"/>
        <w:rPr>
          <w:rFonts w:ascii="Times New Roman" w:hAnsi="Times New Roman"/>
          <w:szCs w:val="32"/>
        </w:rPr>
      </w:pPr>
      <w:r>
        <w:rPr>
          <w:rStyle w:val="16"/>
          <w:b/>
          <w:bCs/>
          <w:kern w:val="0"/>
        </w:rPr>
        <w:t>二是</w:t>
      </w:r>
      <w:r>
        <w:rPr>
          <w:rFonts w:ascii="Times New Roman" w:hAnsi="Times New Roman"/>
          <w:szCs w:val="32"/>
        </w:rPr>
        <w:t>持续做好学习教育。坚持把学习宣传贯彻习近平新时代中国特色社会主义思想作为首要政治任务和长期工作主题，结合理论学习中心组学习、“三会一课”“主题党日”，切实把街道广大党员干部的思想统一到中央精神和省委、市委、区委要求上来。街道科级及以上领导班子带头学，集中开展了6期理论中心组学习，集中学习了习近平总书记在统筹推进新冠肺炎疫情防控和经济社会发展工作部署会议，以及决战决胜脱贫攻坚座谈会上的重要讲话精神等；强化“学习强国”“云岭先锋”的日常应用学习，推动基层党员干部读原著、学原文、悟原理；分别组织全体党员和党务干部参加为期三天的“万名党员进党校”集中培训2期，加强思想引领，深化理想信念教育，提高党务业务水平。</w:t>
      </w:r>
    </w:p>
    <w:p>
      <w:pPr>
        <w:spacing w:line="560" w:lineRule="exact"/>
        <w:ind w:firstLine="594" w:firstLineChars="200"/>
        <w:rPr>
          <w:rFonts w:ascii="Times New Roman" w:hAnsi="Times New Roman"/>
          <w:szCs w:val="32"/>
        </w:rPr>
      </w:pPr>
      <w:r>
        <w:rPr>
          <w:rFonts w:ascii="Times New Roman" w:hAnsi="Times New Roman"/>
          <w:b/>
          <w:bCs/>
          <w:szCs w:val="32"/>
        </w:rPr>
        <w:t>三是</w:t>
      </w:r>
      <w:r>
        <w:rPr>
          <w:rFonts w:ascii="Times New Roman" w:hAnsi="Times New Roman"/>
          <w:szCs w:val="32"/>
        </w:rPr>
        <w:t>扎实开展党建引领疫情防控工作。在疫情防控一线组织300余名党员组建17支“党员先锋队”充实社区力量，开展全覆盖入户宣传、登记排查，在28个检测卡点值守。以“让党旗在防控疫情第一线高高飘扬”为主题，通过“云端”学习、线下服务，开展主题党日活动，践行初心使命，增强服务意识，弘扬冲锋在前、不畏艰辛的奉献精神。组织引导辖区内19个基层党组织739名党员自愿捐款119439元支持疫情防控工作，不断增强使命感和责任感。并积极主动为辖区种植户、学校、企业做好服务，加快推进复工复产复学。</w:t>
      </w:r>
    </w:p>
    <w:p>
      <w:pPr>
        <w:overflowPunct w:val="0"/>
        <w:adjustRightInd w:val="0"/>
        <w:snapToGrid w:val="0"/>
        <w:spacing w:line="560" w:lineRule="exact"/>
        <w:ind w:firstLine="594" w:firstLineChars="200"/>
        <w:rPr>
          <w:rFonts w:ascii="Times New Roman" w:hAnsi="Times New Roman"/>
          <w:szCs w:val="32"/>
          <w:lang w:val="zh-CN"/>
        </w:rPr>
      </w:pPr>
      <w:r>
        <w:rPr>
          <w:rFonts w:ascii="Times New Roman" w:hAnsi="Times New Roman"/>
          <w:szCs w:val="32"/>
        </w:rPr>
        <w:t>以“学党规党章、学系列讲话、做合格党员”为基本内容，结合“主题党日”，深入推进“百名讲师上讲台、千堂党课下基层、万名党员进党校”工程，加强街道党校规范化建设管理工作进行改造提升，着力增强政治训练、提高理论素养、强化党性意识。通过“微党课”“学习身边榜样”等措施激发学习热情；拍摄《光辉历程》《守望》《我们的战疫》《党旗之下》党课和党员教育宣传片4部，其中在区级评审中获二等奖1部、优秀奖1部；开展9期“云岭先锋”夜校集中学习；用好“学习强国”网上平台、“云岭先锋”手机APP自学平台，发布“两学一做”学习教育知识。截止目前，利用综合服务平台发布电视公告70884 条，推送短信361367条，便民服务办事办结12073 件；运用微信公众号推广宣传96期；围绕乡村振兴战略在田间地头办学12期，分别在段家营、前卫营</w:t>
      </w:r>
      <w:r>
        <w:rPr>
          <w:rFonts w:ascii="Times New Roman" w:hAnsi="Times New Roman"/>
          <w:szCs w:val="32"/>
          <w:lang w:val="zh-CN"/>
        </w:rPr>
        <w:t>社区等开展智慧果园、田间学校培训，向群众送上最急需、最适用的现代农业技术；</w:t>
      </w:r>
      <w:r>
        <w:rPr>
          <w:rFonts w:ascii="Times New Roman" w:hAnsi="Times New Roman"/>
          <w:szCs w:val="32"/>
        </w:rPr>
        <w:t>大力推进习近平新时代中国特色社会主义思想进机关、进社区、进“两新”党组织，全面提升党员学习培训的质量和效果，教育引导广大党员群众增强政治认同、理论认同、感情认同，推动学习往深里走、往心里走、往实里走。</w:t>
      </w:r>
    </w:p>
    <w:p>
      <w:pPr>
        <w:snapToGrid w:val="0"/>
        <w:spacing w:line="560" w:lineRule="exact"/>
        <w:ind w:firstLine="594" w:firstLineChars="200"/>
        <w:rPr>
          <w:rFonts w:ascii="楷体_GB2312" w:hAnsi="Times New Roman" w:eastAsia="楷体_GB2312"/>
          <w:kern w:val="0"/>
          <w:szCs w:val="32"/>
        </w:rPr>
      </w:pPr>
      <w:r>
        <w:rPr>
          <w:rFonts w:hint="eastAsia" w:ascii="楷体_GB2312" w:hAnsi="Times New Roman" w:eastAsia="楷体_GB2312"/>
          <w:kern w:val="0"/>
          <w:szCs w:val="32"/>
        </w:rPr>
        <w:t>（三）项目绩效情况分析</w:t>
      </w:r>
    </w:p>
    <w:p>
      <w:pPr>
        <w:snapToGrid w:val="0"/>
        <w:spacing w:line="560" w:lineRule="exact"/>
        <w:ind w:firstLine="594" w:firstLineChars="200"/>
        <w:rPr>
          <w:rFonts w:ascii="Times New Roman" w:hAnsi="Times New Roman"/>
          <w:b/>
          <w:kern w:val="0"/>
          <w:szCs w:val="32"/>
        </w:rPr>
      </w:pPr>
      <w:r>
        <w:rPr>
          <w:rFonts w:ascii="Times New Roman" w:hAnsi="Times New Roman"/>
          <w:b/>
          <w:kern w:val="0"/>
          <w:szCs w:val="32"/>
        </w:rPr>
        <w:t>1</w:t>
      </w:r>
      <w:r>
        <w:rPr>
          <w:rFonts w:ascii="Times New Roman" w:hAnsi="Times New Roman"/>
          <w:b/>
          <w:kern w:val="0"/>
        </w:rPr>
        <w:t>.</w:t>
      </w:r>
      <w:r>
        <w:rPr>
          <w:rFonts w:hint="eastAsia" w:ascii="Times New Roman" w:hAnsi="Times New Roman"/>
          <w:b/>
          <w:kern w:val="0"/>
          <w:szCs w:val="32"/>
        </w:rPr>
        <w:t>项目经济性分析</w:t>
      </w:r>
    </w:p>
    <w:p>
      <w:pPr>
        <w:snapToGrid w:val="0"/>
        <w:spacing w:line="560" w:lineRule="exact"/>
        <w:ind w:firstLine="594" w:firstLineChars="200"/>
        <w:rPr>
          <w:rFonts w:ascii="Times New Roman" w:hAnsi="Times New Roman"/>
          <w:kern w:val="0"/>
          <w:szCs w:val="32"/>
        </w:rPr>
      </w:pPr>
      <w:r>
        <w:rPr>
          <w:rFonts w:ascii="Times New Roman" w:hAnsi="Times New Roman"/>
          <w:kern w:val="0"/>
          <w:szCs w:val="32"/>
        </w:rPr>
        <w:t>20</w:t>
      </w:r>
      <w:r>
        <w:rPr>
          <w:rFonts w:hint="eastAsia" w:ascii="Times New Roman" w:hAnsi="Times New Roman"/>
          <w:kern w:val="0"/>
          <w:szCs w:val="32"/>
        </w:rPr>
        <w:t>20年，按照“基层党建创新提质年”总体要求，对照党支部规范化建设标准，吴家营街道严格控制项目成本（预算），按时完成了街道基层党建工作各项任务。</w:t>
      </w:r>
    </w:p>
    <w:p>
      <w:pPr>
        <w:snapToGrid w:val="0"/>
        <w:spacing w:line="560" w:lineRule="exact"/>
        <w:ind w:firstLine="594" w:firstLineChars="200"/>
        <w:rPr>
          <w:rFonts w:ascii="Times New Roman" w:hAnsi="Times New Roman"/>
          <w:b/>
          <w:kern w:val="0"/>
          <w:szCs w:val="32"/>
        </w:rPr>
      </w:pPr>
      <w:r>
        <w:rPr>
          <w:rFonts w:ascii="Times New Roman" w:hAnsi="Times New Roman"/>
          <w:b/>
          <w:kern w:val="0"/>
          <w:szCs w:val="32"/>
        </w:rPr>
        <w:t>2</w:t>
      </w:r>
      <w:r>
        <w:rPr>
          <w:rFonts w:ascii="Times New Roman" w:hAnsi="Times New Roman"/>
          <w:b/>
          <w:kern w:val="0"/>
        </w:rPr>
        <w:t>.</w:t>
      </w:r>
      <w:r>
        <w:rPr>
          <w:rFonts w:hint="eastAsia" w:ascii="Times New Roman" w:hAnsi="Times New Roman"/>
          <w:b/>
          <w:kern w:val="0"/>
          <w:szCs w:val="32"/>
        </w:rPr>
        <w:t>项目的效率性分析</w:t>
      </w:r>
    </w:p>
    <w:p>
      <w:pPr>
        <w:snapToGrid w:val="0"/>
        <w:spacing w:line="560" w:lineRule="exact"/>
        <w:ind w:firstLine="594" w:firstLineChars="200"/>
        <w:rPr>
          <w:rFonts w:ascii="Times New Roman" w:hAnsi="Times New Roman"/>
          <w:kern w:val="0"/>
          <w:szCs w:val="32"/>
        </w:rPr>
      </w:pPr>
      <w:r>
        <w:rPr>
          <w:rFonts w:hint="eastAsia" w:ascii="Times New Roman" w:hAnsi="Times New Roman"/>
          <w:kern w:val="0"/>
          <w:szCs w:val="32"/>
        </w:rPr>
        <w:t>通过开展“基层党建创新提质年”工作，社区党建工作经费使用公开、透明，服务群众效果显著。</w:t>
      </w:r>
    </w:p>
    <w:p>
      <w:pPr>
        <w:snapToGrid w:val="0"/>
        <w:spacing w:line="560" w:lineRule="exact"/>
        <w:ind w:firstLine="594" w:firstLineChars="200"/>
        <w:rPr>
          <w:rFonts w:ascii="Times New Roman" w:hAnsi="Times New Roman"/>
          <w:b/>
          <w:kern w:val="0"/>
          <w:szCs w:val="32"/>
        </w:rPr>
      </w:pPr>
      <w:r>
        <w:rPr>
          <w:rFonts w:ascii="Times New Roman" w:hAnsi="Times New Roman"/>
          <w:b/>
          <w:kern w:val="0"/>
          <w:szCs w:val="32"/>
        </w:rPr>
        <w:t>3</w:t>
      </w:r>
      <w:r>
        <w:rPr>
          <w:rFonts w:ascii="Times New Roman" w:hAnsi="Times New Roman"/>
          <w:b/>
          <w:kern w:val="0"/>
        </w:rPr>
        <w:t>.</w:t>
      </w:r>
      <w:r>
        <w:rPr>
          <w:rFonts w:hint="eastAsia" w:ascii="Times New Roman" w:hAnsi="Times New Roman"/>
          <w:b/>
          <w:kern w:val="0"/>
          <w:szCs w:val="32"/>
        </w:rPr>
        <w:t>项目的效益性分析</w:t>
      </w:r>
    </w:p>
    <w:p>
      <w:pPr>
        <w:snapToGrid w:val="0"/>
        <w:spacing w:line="560" w:lineRule="exact"/>
        <w:ind w:firstLine="594" w:firstLineChars="200"/>
        <w:rPr>
          <w:rFonts w:ascii="Times New Roman" w:hAnsi="Times New Roman"/>
          <w:kern w:val="0"/>
          <w:szCs w:val="32"/>
        </w:rPr>
      </w:pPr>
      <w:r>
        <w:rPr>
          <w:rFonts w:hint="eastAsia" w:ascii="Times New Roman" w:hAnsi="Times New Roman"/>
          <w:kern w:val="0"/>
          <w:szCs w:val="32"/>
        </w:rPr>
        <w:t>通过开展“基层党建创新提质年”工作，一切工作到支部的工作方式得到进一步巩固，全面从严治党工作落到实处。</w:t>
      </w:r>
    </w:p>
    <w:p>
      <w:pPr>
        <w:snapToGrid w:val="0"/>
        <w:spacing w:line="560" w:lineRule="exact"/>
        <w:ind w:firstLine="594" w:firstLineChars="200"/>
        <w:rPr>
          <w:rFonts w:ascii="黑体" w:hAnsi="黑体" w:eastAsia="黑体"/>
          <w:kern w:val="0"/>
          <w:szCs w:val="32"/>
        </w:rPr>
      </w:pPr>
      <w:r>
        <w:rPr>
          <w:rFonts w:hint="eastAsia" w:ascii="黑体" w:hAnsi="黑体" w:eastAsia="黑体"/>
          <w:kern w:val="0"/>
          <w:szCs w:val="32"/>
        </w:rPr>
        <w:t>五、综合评价情况及评价结论</w:t>
      </w:r>
    </w:p>
    <w:p>
      <w:pPr>
        <w:snapToGrid w:val="0"/>
        <w:spacing w:line="560" w:lineRule="exact"/>
        <w:ind w:firstLine="594" w:firstLineChars="200"/>
        <w:rPr>
          <w:rFonts w:ascii="仿宋_GB2312" w:hAnsi="Times New Roman"/>
          <w:kern w:val="0"/>
          <w:szCs w:val="32"/>
        </w:rPr>
      </w:pPr>
      <w:r>
        <w:rPr>
          <w:rFonts w:ascii="仿宋_GB2312" w:hAnsi="Times New Roman"/>
          <w:kern w:val="0"/>
          <w:szCs w:val="32"/>
        </w:rPr>
        <w:t>20</w:t>
      </w:r>
      <w:r>
        <w:rPr>
          <w:rFonts w:hint="eastAsia" w:ascii="仿宋_GB2312" w:hAnsi="Times New Roman"/>
          <w:kern w:val="0"/>
          <w:szCs w:val="32"/>
        </w:rPr>
        <w:t>20年，街道党建工作各项任务的落实让街道所属各基层党组织建设更加规范，通过创建规范化党组织活动，各基层党组织基础党务更加扎实到位，党建引领作用进一步增强，班子队伍进一步团结，群众满意度进一步提升；组织生活更加严格，“三会一课”逐步规范，每月“主题党日”活动形式多样，通过实地参观学习、党课教育、志愿活动等多种形式，党员的身份意识和党性不断提高，先锋模范作用显著提升；党费收缴更加透明。</w:t>
      </w:r>
    </w:p>
    <w:p>
      <w:pPr>
        <w:topLinePunct/>
        <w:spacing w:line="560" w:lineRule="exact"/>
        <w:ind w:firstLine="594" w:firstLineChars="200"/>
        <w:rPr>
          <w:rFonts w:ascii="黑体" w:eastAsia="黑体"/>
          <w:szCs w:val="32"/>
        </w:rPr>
      </w:pPr>
      <w:r>
        <w:rPr>
          <w:rFonts w:hint="eastAsia" w:ascii="黑体" w:eastAsia="黑体"/>
          <w:szCs w:val="32"/>
        </w:rPr>
        <w:t>六、绩效评价结果应用建议</w:t>
      </w:r>
    </w:p>
    <w:p>
      <w:pPr>
        <w:spacing w:line="560" w:lineRule="exact"/>
        <w:rPr>
          <w:rFonts w:ascii="仿宋_GB2312" w:hAnsi="宋体"/>
          <w:szCs w:val="32"/>
        </w:rPr>
      </w:pPr>
      <w:r>
        <w:rPr>
          <w:rFonts w:ascii="仿宋_GB2312" w:hAnsi="宋体"/>
          <w:szCs w:val="32"/>
        </w:rPr>
        <w:t xml:space="preserve">    </w:t>
      </w:r>
      <w:r>
        <w:rPr>
          <w:rFonts w:hint="eastAsia" w:ascii="仿宋_GB2312" w:hAnsi="宋体"/>
          <w:szCs w:val="32"/>
        </w:rPr>
        <w:t>为下一年年度预算提供依据。</w:t>
      </w:r>
    </w:p>
    <w:p>
      <w:pPr>
        <w:snapToGrid w:val="0"/>
        <w:spacing w:line="560" w:lineRule="exact"/>
        <w:ind w:firstLine="594" w:firstLineChars="200"/>
        <w:rPr>
          <w:rFonts w:ascii="黑体" w:hAnsi="黑体" w:eastAsia="黑体"/>
          <w:kern w:val="0"/>
          <w:szCs w:val="32"/>
        </w:rPr>
      </w:pPr>
      <w:r>
        <w:rPr>
          <w:rFonts w:hint="eastAsia" w:ascii="黑体" w:eastAsia="黑体"/>
          <w:szCs w:val="32"/>
        </w:rPr>
        <w:t>七、主要经验及做法、</w:t>
      </w:r>
      <w:r>
        <w:rPr>
          <w:rFonts w:hint="eastAsia" w:ascii="黑体" w:hAnsi="黑体" w:eastAsia="黑体"/>
          <w:kern w:val="0"/>
          <w:szCs w:val="32"/>
        </w:rPr>
        <w:t>存在的问题和建议</w:t>
      </w:r>
    </w:p>
    <w:p>
      <w:pPr>
        <w:snapToGrid w:val="0"/>
        <w:spacing w:line="560" w:lineRule="exact"/>
        <w:ind w:firstLine="594" w:firstLineChars="200"/>
        <w:rPr>
          <w:rFonts w:ascii="Times New Roman" w:hAnsi="Times New Roman"/>
          <w:kern w:val="0"/>
          <w:szCs w:val="32"/>
        </w:rPr>
      </w:pPr>
      <w:r>
        <w:rPr>
          <w:rFonts w:hint="eastAsia" w:ascii="Times New Roman" w:hAnsi="Times New Roman"/>
          <w:kern w:val="0"/>
          <w:szCs w:val="32"/>
        </w:rPr>
        <w:t>无。</w:t>
      </w:r>
    </w:p>
    <w:p>
      <w:pPr>
        <w:snapToGrid w:val="0"/>
        <w:spacing w:line="560" w:lineRule="exact"/>
        <w:ind w:firstLine="594" w:firstLineChars="200"/>
        <w:rPr>
          <w:rFonts w:ascii="黑体" w:hAnsi="黑体" w:eastAsia="黑体"/>
          <w:kern w:val="0"/>
          <w:szCs w:val="32"/>
        </w:rPr>
      </w:pPr>
      <w:r>
        <w:rPr>
          <w:rFonts w:hint="eastAsia" w:ascii="黑体" w:hAnsi="黑体" w:eastAsia="黑体"/>
          <w:kern w:val="0"/>
          <w:szCs w:val="32"/>
        </w:rPr>
        <w:t>八、其他需要说明的问题</w:t>
      </w:r>
    </w:p>
    <w:p>
      <w:pPr>
        <w:snapToGrid w:val="0"/>
        <w:spacing w:line="560" w:lineRule="exact"/>
        <w:ind w:firstLine="594" w:firstLineChars="200"/>
        <w:rPr>
          <w:rFonts w:ascii="Times New Roman" w:hAnsi="Times New Roman"/>
          <w:kern w:val="0"/>
          <w:szCs w:val="32"/>
        </w:rPr>
      </w:pPr>
      <w:r>
        <w:rPr>
          <w:rFonts w:hint="eastAsia" w:ascii="Times New Roman" w:hAnsi="Times New Roman"/>
          <w:kern w:val="0"/>
          <w:szCs w:val="32"/>
        </w:rPr>
        <w:t>无。</w:t>
      </w:r>
    </w:p>
    <w:p>
      <w:pPr>
        <w:snapToGrid w:val="0"/>
        <w:spacing w:line="560" w:lineRule="exact"/>
        <w:ind w:firstLine="594" w:firstLineChars="200"/>
        <w:rPr>
          <w:rFonts w:ascii="Times New Roman" w:hAnsi="Times New Roman"/>
          <w:kern w:val="0"/>
          <w:szCs w:val="32"/>
        </w:rPr>
      </w:pPr>
    </w:p>
    <w:p>
      <w:pPr>
        <w:snapToGrid w:val="0"/>
        <w:spacing w:line="560" w:lineRule="exact"/>
        <w:ind w:firstLine="594" w:firstLineChars="200"/>
        <w:rPr>
          <w:rFonts w:ascii="Times New Roman" w:hAnsi="Times New Roman"/>
          <w:kern w:val="0"/>
          <w:szCs w:val="32"/>
        </w:rPr>
      </w:pPr>
    </w:p>
    <w:p>
      <w:pPr>
        <w:snapToGrid w:val="0"/>
        <w:spacing w:line="560" w:lineRule="exact"/>
        <w:ind w:firstLine="594" w:firstLineChars="200"/>
        <w:rPr>
          <w:rFonts w:ascii="Times New Roman" w:hAnsi="Times New Roman"/>
          <w:kern w:val="0"/>
          <w:szCs w:val="32"/>
        </w:rPr>
      </w:pPr>
      <w:r>
        <w:rPr>
          <w:rFonts w:hint="eastAsia" w:ascii="Times New Roman" w:hAnsi="Times New Roman"/>
          <w:kern w:val="0"/>
          <w:szCs w:val="32"/>
        </w:rPr>
        <w:t>　　　　　　　　　　　　　　　　吴家营街道办事处　</w:t>
      </w:r>
    </w:p>
    <w:p>
      <w:pPr>
        <w:snapToGrid w:val="0"/>
        <w:spacing w:line="560" w:lineRule="exact"/>
        <w:ind w:firstLine="594" w:firstLineChars="200"/>
        <w:rPr>
          <w:rFonts w:ascii="Times New Roman" w:hAnsi="Times New Roman"/>
          <w:kern w:val="0"/>
          <w:szCs w:val="32"/>
        </w:rPr>
      </w:pPr>
      <w:r>
        <w:rPr>
          <w:rFonts w:hint="eastAsia" w:ascii="Times New Roman" w:hAnsi="Times New Roman"/>
          <w:kern w:val="0"/>
          <w:szCs w:val="32"/>
        </w:rPr>
        <w:t>　　　　　　　　　　　　　　　　</w:t>
      </w:r>
      <w:r>
        <w:rPr>
          <w:rFonts w:ascii="Times New Roman" w:hAnsi="Times New Roman"/>
          <w:kern w:val="0"/>
          <w:szCs w:val="32"/>
        </w:rPr>
        <w:t xml:space="preserve"> 202</w:t>
      </w:r>
      <w:r>
        <w:rPr>
          <w:rFonts w:hint="eastAsia" w:ascii="Times New Roman" w:hAnsi="Times New Roman"/>
          <w:kern w:val="0"/>
          <w:szCs w:val="32"/>
        </w:rPr>
        <w:t>1年</w:t>
      </w:r>
      <w:r>
        <w:rPr>
          <w:rFonts w:ascii="Times New Roman" w:hAnsi="Times New Roman"/>
          <w:kern w:val="0"/>
          <w:szCs w:val="32"/>
        </w:rPr>
        <w:t>4</w:t>
      </w:r>
      <w:r>
        <w:rPr>
          <w:rFonts w:hint="eastAsia" w:ascii="Times New Roman" w:hAnsi="Times New Roman"/>
          <w:kern w:val="0"/>
          <w:szCs w:val="32"/>
        </w:rPr>
        <w:t>月</w:t>
      </w:r>
      <w:r>
        <w:rPr>
          <w:rFonts w:ascii="Times New Roman" w:hAnsi="Times New Roman"/>
          <w:kern w:val="0"/>
          <w:szCs w:val="32"/>
        </w:rPr>
        <w:t>3</w:t>
      </w:r>
      <w:r>
        <w:rPr>
          <w:rFonts w:hint="eastAsia" w:ascii="Times New Roman" w:hAnsi="Times New Roman"/>
          <w:kern w:val="0"/>
          <w:szCs w:val="32"/>
        </w:rPr>
        <w:t>日</w:t>
      </w:r>
    </w:p>
    <w:sectPr>
      <w:footerReference r:id="rId3" w:type="default"/>
      <w:footerReference r:id="rId4" w:type="even"/>
      <w:pgSz w:w="11906" w:h="16838"/>
      <w:pgMar w:top="2098" w:right="1531" w:bottom="1985" w:left="1531" w:header="851" w:footer="992" w:gutter="0"/>
      <w:cols w:space="0" w:num="1"/>
      <w:docGrid w:type="linesAndChars" w:linePitch="608" w:charSpace="-47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page" w:x="5926" w:y="35"/>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NotTrackMoves/>
  <w:documentProtection w:enforcement="0"/>
  <w:defaultTabStop w:val="420"/>
  <w:drawingGridHorizontalSpacing w:val="297"/>
  <w:drawingGridVerticalSpacing w:val="304"/>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75293"/>
    <w:rsid w:val="00011EB5"/>
    <w:rsid w:val="00021B28"/>
    <w:rsid w:val="00074237"/>
    <w:rsid w:val="000A4283"/>
    <w:rsid w:val="000D5B3F"/>
    <w:rsid w:val="0012724E"/>
    <w:rsid w:val="00130838"/>
    <w:rsid w:val="001529D1"/>
    <w:rsid w:val="00163ECD"/>
    <w:rsid w:val="001739E1"/>
    <w:rsid w:val="0017587F"/>
    <w:rsid w:val="0019473F"/>
    <w:rsid w:val="001B0FFA"/>
    <w:rsid w:val="001D3755"/>
    <w:rsid w:val="001D7A90"/>
    <w:rsid w:val="002256AD"/>
    <w:rsid w:val="0023258E"/>
    <w:rsid w:val="00237E96"/>
    <w:rsid w:val="002501D5"/>
    <w:rsid w:val="00253189"/>
    <w:rsid w:val="002551B3"/>
    <w:rsid w:val="00260236"/>
    <w:rsid w:val="002630F4"/>
    <w:rsid w:val="00276506"/>
    <w:rsid w:val="002C69B0"/>
    <w:rsid w:val="002E7CA4"/>
    <w:rsid w:val="00314789"/>
    <w:rsid w:val="0033322B"/>
    <w:rsid w:val="0035168B"/>
    <w:rsid w:val="00353A10"/>
    <w:rsid w:val="003651DF"/>
    <w:rsid w:val="00373D2C"/>
    <w:rsid w:val="0037796C"/>
    <w:rsid w:val="003A281F"/>
    <w:rsid w:val="00423413"/>
    <w:rsid w:val="00435E00"/>
    <w:rsid w:val="00486ACC"/>
    <w:rsid w:val="004C3A46"/>
    <w:rsid w:val="004D1A8A"/>
    <w:rsid w:val="004E162E"/>
    <w:rsid w:val="004E6220"/>
    <w:rsid w:val="004F2B56"/>
    <w:rsid w:val="004F767C"/>
    <w:rsid w:val="005231B1"/>
    <w:rsid w:val="00565C63"/>
    <w:rsid w:val="005806C4"/>
    <w:rsid w:val="005A7DB6"/>
    <w:rsid w:val="005D0D00"/>
    <w:rsid w:val="005D2587"/>
    <w:rsid w:val="005E0EBB"/>
    <w:rsid w:val="005E1E4C"/>
    <w:rsid w:val="005F0504"/>
    <w:rsid w:val="00624A86"/>
    <w:rsid w:val="006252A7"/>
    <w:rsid w:val="006323C4"/>
    <w:rsid w:val="00633E97"/>
    <w:rsid w:val="00643BDD"/>
    <w:rsid w:val="00645050"/>
    <w:rsid w:val="00646314"/>
    <w:rsid w:val="0065493B"/>
    <w:rsid w:val="00685C2C"/>
    <w:rsid w:val="006B395E"/>
    <w:rsid w:val="006B5487"/>
    <w:rsid w:val="006B571F"/>
    <w:rsid w:val="006C1370"/>
    <w:rsid w:val="006D4D86"/>
    <w:rsid w:val="0072497C"/>
    <w:rsid w:val="007348FD"/>
    <w:rsid w:val="0073752B"/>
    <w:rsid w:val="00746F9F"/>
    <w:rsid w:val="00782B9B"/>
    <w:rsid w:val="007C1BA0"/>
    <w:rsid w:val="007C4065"/>
    <w:rsid w:val="007D062E"/>
    <w:rsid w:val="007E3B3A"/>
    <w:rsid w:val="00806606"/>
    <w:rsid w:val="00821B7D"/>
    <w:rsid w:val="008342D8"/>
    <w:rsid w:val="00842C98"/>
    <w:rsid w:val="0085304A"/>
    <w:rsid w:val="008559A6"/>
    <w:rsid w:val="00860765"/>
    <w:rsid w:val="0086130C"/>
    <w:rsid w:val="00861A91"/>
    <w:rsid w:val="00863038"/>
    <w:rsid w:val="0087249A"/>
    <w:rsid w:val="00875293"/>
    <w:rsid w:val="00880BD2"/>
    <w:rsid w:val="008A6F0F"/>
    <w:rsid w:val="008A7E47"/>
    <w:rsid w:val="008C7A72"/>
    <w:rsid w:val="008D081C"/>
    <w:rsid w:val="00902BF8"/>
    <w:rsid w:val="00904A92"/>
    <w:rsid w:val="00911792"/>
    <w:rsid w:val="009358DE"/>
    <w:rsid w:val="00951463"/>
    <w:rsid w:val="009933F7"/>
    <w:rsid w:val="009A336F"/>
    <w:rsid w:val="009D661C"/>
    <w:rsid w:val="009D783B"/>
    <w:rsid w:val="009F6C79"/>
    <w:rsid w:val="00A12033"/>
    <w:rsid w:val="00A170B3"/>
    <w:rsid w:val="00A71156"/>
    <w:rsid w:val="00AE4033"/>
    <w:rsid w:val="00B1257A"/>
    <w:rsid w:val="00B405BD"/>
    <w:rsid w:val="00B6691F"/>
    <w:rsid w:val="00B8383C"/>
    <w:rsid w:val="00B84483"/>
    <w:rsid w:val="00BA1709"/>
    <w:rsid w:val="00C02621"/>
    <w:rsid w:val="00C06CD8"/>
    <w:rsid w:val="00C2298E"/>
    <w:rsid w:val="00C33BA3"/>
    <w:rsid w:val="00C35690"/>
    <w:rsid w:val="00C81232"/>
    <w:rsid w:val="00CA287C"/>
    <w:rsid w:val="00CA3D21"/>
    <w:rsid w:val="00CA4F83"/>
    <w:rsid w:val="00CB0527"/>
    <w:rsid w:val="00CB194E"/>
    <w:rsid w:val="00CC4D03"/>
    <w:rsid w:val="00CD1998"/>
    <w:rsid w:val="00CD7A33"/>
    <w:rsid w:val="00CE2294"/>
    <w:rsid w:val="00CE48FB"/>
    <w:rsid w:val="00D01FD7"/>
    <w:rsid w:val="00D04507"/>
    <w:rsid w:val="00D3336C"/>
    <w:rsid w:val="00D37813"/>
    <w:rsid w:val="00D83E3F"/>
    <w:rsid w:val="00DA2DC0"/>
    <w:rsid w:val="00DB5F29"/>
    <w:rsid w:val="00DD3921"/>
    <w:rsid w:val="00DD452F"/>
    <w:rsid w:val="00DE4C80"/>
    <w:rsid w:val="00E14233"/>
    <w:rsid w:val="00E672CB"/>
    <w:rsid w:val="00E72ACF"/>
    <w:rsid w:val="00E952F8"/>
    <w:rsid w:val="00EA11D5"/>
    <w:rsid w:val="00EC0330"/>
    <w:rsid w:val="00EC38AA"/>
    <w:rsid w:val="00EF1D70"/>
    <w:rsid w:val="00F13463"/>
    <w:rsid w:val="00F34A2F"/>
    <w:rsid w:val="00F54B7A"/>
    <w:rsid w:val="00F67BA8"/>
    <w:rsid w:val="00F67E5F"/>
    <w:rsid w:val="00F76055"/>
    <w:rsid w:val="00F8290B"/>
    <w:rsid w:val="00F852D9"/>
    <w:rsid w:val="00FC624F"/>
    <w:rsid w:val="00FC73D1"/>
    <w:rsid w:val="05AE36CA"/>
    <w:rsid w:val="378A5996"/>
    <w:rsid w:val="4E28351D"/>
    <w:rsid w:val="53C92A72"/>
    <w:rsid w:val="5A3C6978"/>
    <w:rsid w:val="67600811"/>
    <w:rsid w:val="6DD4733E"/>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paragraph" w:styleId="2">
    <w:name w:val="heading 1"/>
    <w:basedOn w:val="1"/>
    <w:next w:val="1"/>
    <w:link w:val="15"/>
    <w:qFormat/>
    <w:locked/>
    <w:uiPriority w:val="99"/>
    <w:pPr>
      <w:keepNext/>
      <w:keepLines/>
      <w:widowControl/>
      <w:overflowPunct w:val="0"/>
      <w:autoSpaceDE w:val="0"/>
      <w:autoSpaceDN w:val="0"/>
      <w:adjustRightInd w:val="0"/>
      <w:spacing w:before="340" w:after="330" w:line="578" w:lineRule="auto"/>
      <w:outlineLvl w:val="0"/>
    </w:pPr>
    <w:rPr>
      <w:rFonts w:ascii="Times New Roman" w:hAnsi="Times New Roman" w:eastAsia="宋体"/>
      <w:b/>
      <w:bCs/>
      <w:kern w:val="44"/>
      <w:sz w:val="44"/>
      <w:szCs w:val="44"/>
    </w:rPr>
  </w:style>
  <w:style w:type="character" w:default="1" w:styleId="7">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11"/>
    <w:uiPriority w:val="99"/>
    <w:pPr>
      <w:tabs>
        <w:tab w:val="center" w:pos="4153"/>
        <w:tab w:val="right" w:pos="8306"/>
      </w:tabs>
      <w:snapToGrid w:val="0"/>
      <w:jc w:val="left"/>
    </w:pPr>
    <w:rPr>
      <w:sz w:val="18"/>
      <w:szCs w:val="18"/>
    </w:rPr>
  </w:style>
  <w:style w:type="paragraph" w:styleId="4">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jc w:val="left"/>
    </w:pPr>
    <w:rPr>
      <w:rFonts w:ascii="Times New Roman" w:hAnsi="Times New Roman" w:eastAsia="宋体"/>
      <w:kern w:val="0"/>
      <w:sz w:val="24"/>
      <w:szCs w:val="20"/>
    </w:rPr>
  </w:style>
  <w:style w:type="character" w:styleId="8">
    <w:name w:val="Strong"/>
    <w:basedOn w:val="7"/>
    <w:qFormat/>
    <w:uiPriority w:val="99"/>
    <w:rPr>
      <w:rFonts w:cs="Times New Roman"/>
      <w:b/>
    </w:rPr>
  </w:style>
  <w:style w:type="character" w:styleId="9">
    <w:name w:val="page number"/>
    <w:basedOn w:val="7"/>
    <w:uiPriority w:val="99"/>
    <w:rPr>
      <w:rFonts w:cs="Times New Roman"/>
    </w:rPr>
  </w:style>
  <w:style w:type="character" w:customStyle="1" w:styleId="10">
    <w:name w:val="Heading 1 Char"/>
    <w:basedOn w:val="7"/>
    <w:link w:val="2"/>
    <w:locked/>
    <w:uiPriority w:val="99"/>
    <w:rPr>
      <w:rFonts w:eastAsia="仿宋_GB2312" w:cs="Times New Roman"/>
      <w:b/>
      <w:bCs/>
      <w:kern w:val="44"/>
      <w:sz w:val="44"/>
      <w:szCs w:val="44"/>
    </w:rPr>
  </w:style>
  <w:style w:type="character" w:customStyle="1" w:styleId="11">
    <w:name w:val="页脚 Char"/>
    <w:basedOn w:val="7"/>
    <w:link w:val="3"/>
    <w:locked/>
    <w:uiPriority w:val="99"/>
    <w:rPr>
      <w:rFonts w:eastAsia="仿宋_GB2312" w:cs="Times New Roman"/>
      <w:kern w:val="2"/>
      <w:sz w:val="18"/>
      <w:szCs w:val="18"/>
    </w:rPr>
  </w:style>
  <w:style w:type="character" w:customStyle="1" w:styleId="12">
    <w:name w:val="页眉 Char"/>
    <w:basedOn w:val="7"/>
    <w:link w:val="4"/>
    <w:locked/>
    <w:uiPriority w:val="99"/>
    <w:rPr>
      <w:rFonts w:eastAsia="仿宋_GB2312" w:cs="Times New Roman"/>
      <w:kern w:val="2"/>
      <w:sz w:val="18"/>
      <w:szCs w:val="18"/>
    </w:rPr>
  </w:style>
  <w:style w:type="paragraph" w:customStyle="1" w:styleId="13">
    <w:name w:val="Char"/>
    <w:basedOn w:val="1"/>
    <w:semiHidden/>
    <w:uiPriority w:val="99"/>
    <w:rPr>
      <w:rFonts w:ascii="Times New Roman" w:hAnsi="Times New Roman" w:eastAsia="宋体"/>
      <w:sz w:val="21"/>
      <w:szCs w:val="24"/>
    </w:rPr>
  </w:style>
  <w:style w:type="paragraph" w:styleId="14">
    <w:name w:val="List Paragraph"/>
    <w:basedOn w:val="1"/>
    <w:qFormat/>
    <w:uiPriority w:val="99"/>
    <w:pPr>
      <w:ind w:firstLine="420" w:firstLineChars="200"/>
    </w:pPr>
  </w:style>
  <w:style w:type="character" w:customStyle="1" w:styleId="15">
    <w:name w:val="标题 1 Char"/>
    <w:basedOn w:val="7"/>
    <w:link w:val="2"/>
    <w:locked/>
    <w:uiPriority w:val="99"/>
    <w:rPr>
      <w:rFonts w:eastAsia="宋体" w:cs="Times New Roman"/>
      <w:b/>
      <w:bCs/>
      <w:kern w:val="44"/>
      <w:sz w:val="44"/>
      <w:szCs w:val="44"/>
      <w:lang w:val="en-US" w:eastAsia="zh-CN" w:bidi="ar-SA"/>
    </w:rPr>
  </w:style>
  <w:style w:type="character" w:customStyle="1" w:styleId="16">
    <w:name w:val="16"/>
    <w:basedOn w:val="7"/>
    <w:uiPriority w:val="0"/>
    <w:rPr>
      <w:rFonts w:hint="default" w:ascii="Times New Roman" w:hAnsi="Times New Roman" w:eastAsia="仿宋_GB2312" w:cs="Times New Roman"/>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6</Pages>
  <Words>462</Words>
  <Characters>2635</Characters>
  <Lines>21</Lines>
  <Paragraphs>6</Paragraphs>
  <TotalTime>161</TotalTime>
  <ScaleCrop>false</ScaleCrop>
  <LinksUpToDate>false</LinksUpToDate>
  <CharactersWithSpaces>3091</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2020-01-03T09:25:00Z</dcterms:created>
  <dc:creator>jyjcg</dc:creator>
  <cp:lastModifiedBy>Administrator</cp:lastModifiedBy>
  <cp:lastPrinted>2018-04-25T06:14:00Z</cp:lastPrinted>
  <dcterms:modified xsi:type="dcterms:W3CDTF">2021-09-01T05:49:31Z</dcterms:modified>
  <dc:title>吴家营街道办事处</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ies>
</file>