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万溪冲果园机耕道路硬化项目支出</w:t>
      </w:r>
    </w:p>
    <w:p>
      <w:pPr>
        <w:spacing w:line="5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绩效报告</w:t>
      </w:r>
    </w:p>
    <w:p>
      <w:pPr>
        <w:spacing w:line="560" w:lineRule="exact"/>
        <w:jc w:val="center"/>
        <w:rPr>
          <w:rFonts w:ascii="仿宋_GB2312" w:hAnsi="仿宋_GB2312" w:cs="仿宋_GB2312"/>
          <w:b/>
          <w:szCs w:val="32"/>
        </w:rPr>
      </w:pP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一、基本情况</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（一）项目概况</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万溪冲果园机耕道路硬化项目位于呈贡万溪冲社区村委会，是连接进村道路和万溪冲宝珠梨果园的重要通道，是“交通大动脉”。果园机耕道路硬化后不仅方便群众管理果园，采摘、运输宝珠梨；同时为游客观赏梨花、采摘宝珠梨提供了便捷的通道。果园机耕道路硬化后还具备15分钟体育健身圈及自行车骑行等功能，满足群众日常体育锻炼需求，同时可以举办业余自行车赛、户外活动丰富了梨花节、宝珠梨采摘节等大型活动。万溪冲果园机耕道路的硬化丰富了“万溪生态花园”，同时吸引游人、散客，开花与结果时节，花开时节景色美，结果时节丰收之美，慕名而来之人络绎不绝；据此，使“交通大动脉”贯穿完整，对万溪冲实施乡村振兴具有实际作用和重大意义。</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（二）项目绩效目标</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在万溪冲社区果园机耕道路上硬化一条长9269米,宽4米的机耕道路，需要投入资金337.4万元。同时将按照15分钟体育健身圈及自行车骑行道的建设标准对道路进行提升，将沥青路面改色28000平方米，每平方米62.9元，需要投入资金212.6万元，共需资金550万元。</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二、项目单位绩效报告情况</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项目单位建立健全项目实施预算方案、财务管理制度和会议核算制度，此次绩效评价过程中未发现有截留、挤占或挪用项目资金的情况。</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三、绩效评价工作情况</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（一）绩效评价目的</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社区以“实施乡村振兴战略，促进乡村旅游提质升级”为目标，通过拓展机耕道路使用功能，建设15分钟体育健身圈及自行车骑行道，将社区的山、水、果园及村庄串联起来，形成万溪合力，逐渐改变万溪冲有名气而人气不足的尴尬局面。</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（二）绩效评价的原则、评价指标体系、评价方法</w:t>
      </w:r>
    </w:p>
    <w:p>
      <w:pPr>
        <w:spacing w:line="560" w:lineRule="exact"/>
        <w:ind w:firstLine="594" w:firstLineChars="200"/>
        <w:rPr>
          <w:rStyle w:val="11"/>
          <w:rFonts w:ascii="仿宋_GB2312" w:hAnsi="仿宋_GB2312" w:eastAsia="仿宋_GB2312" w:cs="仿宋_GB2312"/>
          <w:b w:val="0"/>
          <w:sz w:val="32"/>
          <w:szCs w:val="32"/>
        </w:rPr>
      </w:pPr>
      <w:r>
        <w:rPr>
          <w:rStyle w:val="11"/>
          <w:rFonts w:hint="eastAsia" w:ascii="仿宋_GB2312" w:hAnsi="仿宋_GB2312" w:eastAsia="仿宋_GB2312" w:cs="仿宋_GB2312"/>
          <w:b w:val="0"/>
          <w:sz w:val="32"/>
          <w:szCs w:val="32"/>
        </w:rPr>
        <w:t>按《预算法》的规定，设立绩效评价体系及评价方法。</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（三）绩效评价工作过程</w:t>
      </w:r>
    </w:p>
    <w:p>
      <w:pPr>
        <w:spacing w:line="560" w:lineRule="exact"/>
        <w:ind w:firstLine="594" w:firstLineChars="200"/>
        <w:textAlignment w:val="center"/>
        <w:rPr>
          <w:rStyle w:val="11"/>
          <w:rFonts w:ascii="仿宋_GB2312" w:hAnsi="仿宋_GB2312" w:eastAsia="仿宋_GB2312" w:cs="仿宋_GB2312"/>
          <w:b w:val="0"/>
          <w:sz w:val="32"/>
          <w:szCs w:val="32"/>
        </w:rPr>
      </w:pPr>
      <w:r>
        <w:rPr>
          <w:rStyle w:val="11"/>
          <w:rFonts w:hint="eastAsia" w:ascii="仿宋_GB2312" w:hAnsi="仿宋_GB2312" w:eastAsia="仿宋_GB2312" w:cs="仿宋_GB2312"/>
          <w:b w:val="0"/>
          <w:sz w:val="32"/>
          <w:szCs w:val="32"/>
        </w:rPr>
        <w:t>街道成立绩效评价工作小组，负责对绩效评价工作的组织领导和具体实施，做好绩效评价的前期准备工作，主要包括拟定绩效评价方案，选取合适的绩效评价方式，设计绩效评价指标体系等。绩效评价小组按上级相关部门要求开展工作，保证工作按时完成。</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四、绩效评价指标分析情况</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（一）项目资金情况分析</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万溪冲果园机耕道路硬化工程建设项目是政府出资，由万溪冲社区为</w:t>
      </w:r>
      <w:r>
        <w:rPr>
          <w:rFonts w:hint="eastAsia" w:ascii="仿宋_GB2312" w:hAnsi="仿宋_GB2312" w:cs="仿宋_GB2312"/>
          <w:spacing w:val="20"/>
          <w:szCs w:val="32"/>
        </w:rPr>
        <w:t>项目</w:t>
      </w:r>
      <w:r>
        <w:rPr>
          <w:rFonts w:hint="eastAsia" w:ascii="仿宋_GB2312" w:hAnsi="仿宋_GB2312" w:cs="仿宋_GB2312"/>
          <w:szCs w:val="32"/>
        </w:rPr>
        <w:t>实施主体，</w:t>
      </w:r>
      <w:r>
        <w:rPr>
          <w:rFonts w:hint="eastAsia" w:ascii="仿宋_GB2312" w:hAnsi="仿宋_GB2312" w:cs="仿宋_GB2312"/>
          <w:spacing w:val="20"/>
          <w:szCs w:val="32"/>
        </w:rPr>
        <w:t>负责建设。吴家营街道办事处督促社区按照相关部门批准的果园机耕道路标准进行修建，并按照工程建设招标程序的相关规定，进行公开招标建设，严把工程质量关。</w:t>
      </w:r>
    </w:p>
    <w:p>
      <w:pPr>
        <w:topLinePunct/>
        <w:spacing w:line="560" w:lineRule="exact"/>
        <w:ind w:firstLine="594" w:firstLineChars="200"/>
        <w:rPr>
          <w:rFonts w:ascii="楷体" w:hAnsi="楷体" w:eastAsia="楷体" w:cs="楷体"/>
          <w:szCs w:val="32"/>
        </w:rPr>
      </w:pPr>
      <w:r>
        <w:rPr>
          <w:rFonts w:hint="eastAsia" w:ascii="楷体" w:hAnsi="楷体" w:eastAsia="楷体" w:cs="楷体"/>
          <w:szCs w:val="32"/>
        </w:rPr>
        <w:t>（</w:t>
      </w:r>
      <w:r>
        <w:rPr>
          <w:rFonts w:hint="eastAsia" w:ascii="楷体" w:hAnsi="楷体" w:eastAsia="楷体" w:cs="楷体"/>
          <w:szCs w:val="32"/>
          <w:lang w:eastAsia="zh-CN"/>
        </w:rPr>
        <w:t>二</w:t>
      </w:r>
      <w:bookmarkStart w:id="0" w:name="_GoBack"/>
      <w:bookmarkEnd w:id="0"/>
      <w:r>
        <w:rPr>
          <w:rFonts w:hint="eastAsia" w:ascii="楷体" w:hAnsi="楷体" w:eastAsia="楷体" w:cs="楷体"/>
          <w:szCs w:val="32"/>
        </w:rPr>
        <w:t>）项目绩效情况分析</w:t>
      </w:r>
    </w:p>
    <w:p>
      <w:pPr>
        <w:spacing w:line="560" w:lineRule="exact"/>
        <w:ind w:firstLine="674" w:firstLineChars="200"/>
        <w:rPr>
          <w:rFonts w:ascii="仿宋_GB2312" w:hAnsi="仿宋_GB2312" w:cs="仿宋_GB2312"/>
          <w:spacing w:val="20"/>
          <w:szCs w:val="32"/>
        </w:rPr>
      </w:pPr>
      <w:r>
        <w:rPr>
          <w:rFonts w:hint="eastAsia" w:ascii="仿宋_GB2312" w:hAnsi="仿宋_GB2312" w:cs="仿宋_GB2312"/>
          <w:spacing w:val="20"/>
          <w:szCs w:val="32"/>
        </w:rPr>
        <w:t>1、项目的经济性分析</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社区以“实施乡村振兴战略，促进乡村旅游提质升级”为目标，通过拓展机耕道路使用功能，建设15分钟体育健身圈及自行车骑行道，将社区的山、水、果园及村庄串联起来，形成万溪合力，逐渐改变万溪冲有名气而人气不足的尴尬局面。呈贡万溪梨花节、宝珠梨</w:t>
      </w:r>
      <w:r>
        <w:rPr>
          <w:rFonts w:hint="eastAsia" w:ascii="仿宋_GB2312" w:hAnsi="仿宋_GB2312" w:cs="仿宋_GB2312"/>
          <w:kern w:val="0"/>
          <w:szCs w:val="32"/>
          <w:lang w:val="zh-CN"/>
        </w:rPr>
        <w:t>采摘节活动圆满成功，新宝珠梨线上交易首次启动，自行车邀请赛成功举办，梨宴菜品成功推介。</w:t>
      </w:r>
    </w:p>
    <w:p>
      <w:pPr>
        <w:spacing w:line="560" w:lineRule="exact"/>
        <w:ind w:firstLine="674" w:firstLineChars="200"/>
        <w:rPr>
          <w:rFonts w:ascii="仿宋_GB2312" w:hAnsi="仿宋_GB2312" w:cs="仿宋_GB2312"/>
          <w:spacing w:val="20"/>
          <w:szCs w:val="32"/>
        </w:rPr>
      </w:pPr>
      <w:r>
        <w:rPr>
          <w:rFonts w:hint="eastAsia" w:ascii="仿宋_GB2312" w:hAnsi="仿宋_GB2312" w:cs="仿宋_GB2312"/>
          <w:spacing w:val="20"/>
          <w:szCs w:val="32"/>
        </w:rPr>
        <w:t>2、项目的效率性分析</w:t>
      </w:r>
    </w:p>
    <w:p>
      <w:pPr>
        <w:spacing w:line="560" w:lineRule="exact"/>
        <w:ind w:firstLine="594" w:firstLineChars="200"/>
        <w:rPr>
          <w:rFonts w:ascii="仿宋_GB2312" w:hAnsi="仿宋_GB2312" w:cs="仿宋_GB2312"/>
          <w:b/>
          <w:bCs/>
          <w:color w:val="000000"/>
          <w:szCs w:val="32"/>
          <w:lang w:val="zh-CN"/>
        </w:rPr>
      </w:pPr>
      <w:r>
        <w:rPr>
          <w:rFonts w:hint="eastAsia" w:ascii="仿宋_GB2312" w:hAnsi="仿宋_GB2312" w:cs="仿宋_GB2312"/>
          <w:szCs w:val="32"/>
        </w:rPr>
        <w:t>呈贡万溪梨花节、宝珠梨</w:t>
      </w:r>
      <w:r>
        <w:rPr>
          <w:rFonts w:hint="eastAsia" w:ascii="仿宋_GB2312" w:hAnsi="仿宋_GB2312" w:cs="仿宋_GB2312"/>
          <w:kern w:val="0"/>
          <w:szCs w:val="32"/>
          <w:lang w:val="zh-CN"/>
        </w:rPr>
        <w:t>采摘节活动圆满成功，自行车骑行道项目建成并投入使用。全长9.2公里，举办赛事</w:t>
      </w:r>
      <w:r>
        <w:rPr>
          <w:rFonts w:hint="eastAsia" w:ascii="仿宋_GB2312" w:hAnsi="仿宋_GB2312" w:cs="仿宋_GB2312"/>
          <w:kern w:val="0"/>
          <w:szCs w:val="32"/>
        </w:rPr>
        <w:t>2次，吸引了1500余名的骑手参加比赛。</w:t>
      </w:r>
      <w:r>
        <w:rPr>
          <w:rFonts w:hint="eastAsia" w:ascii="仿宋_GB2312" w:hAnsi="仿宋_GB2312" w:cs="仿宋_GB2312"/>
          <w:kern w:val="0"/>
          <w:szCs w:val="32"/>
          <w:lang w:val="zh-CN"/>
        </w:rPr>
        <w:t>新宝珠梨线上交易首次启动，自行车邀请赛成功举办，健康吴家第二节定向赛成功举办，梨宴菜品成功推介，为万溪冲社区乡村振兴注入新活力</w:t>
      </w:r>
    </w:p>
    <w:p>
      <w:pPr>
        <w:spacing w:line="560" w:lineRule="exact"/>
        <w:ind w:firstLine="674" w:firstLineChars="200"/>
        <w:rPr>
          <w:rFonts w:ascii="仿宋_GB2312" w:hAnsi="仿宋_GB2312" w:cs="仿宋_GB2312"/>
          <w:spacing w:val="20"/>
          <w:szCs w:val="32"/>
        </w:rPr>
      </w:pPr>
      <w:r>
        <w:rPr>
          <w:rFonts w:hint="eastAsia" w:ascii="仿宋_GB2312" w:hAnsi="仿宋_GB2312" w:cs="仿宋_GB2312"/>
          <w:spacing w:val="20"/>
          <w:szCs w:val="32"/>
        </w:rPr>
        <w:t>3、项目的效益性分析</w:t>
      </w:r>
    </w:p>
    <w:p>
      <w:pPr>
        <w:spacing w:line="560" w:lineRule="exact"/>
        <w:ind w:firstLine="674" w:firstLineChars="200"/>
        <w:rPr>
          <w:rFonts w:ascii="仿宋_GB2312" w:hAnsi="仿宋_GB2312" w:cs="仿宋_GB2312"/>
          <w:szCs w:val="32"/>
        </w:rPr>
      </w:pPr>
      <w:r>
        <w:rPr>
          <w:rFonts w:hint="eastAsia" w:ascii="仿宋_GB2312" w:hAnsi="仿宋_GB2312" w:cs="仿宋_GB2312"/>
          <w:spacing w:val="20"/>
          <w:szCs w:val="32"/>
        </w:rPr>
        <w:t>本项目资金全部为财政资金。所有资金使用均按照财政资金使用要求使用，专款专用，资金及时到位，保证了项目的顺利建设。</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五、综合评价情况及评价结论</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社区以“实施乡村振兴战略，促进乡村旅游提质升级”为目标，通过拓展机耕道路使用功能，建设15分钟体育健身圈及自行车骑行道，将社区的山、水、果园及村庄串联起来，形成万溪合力，逐渐改变万溪冲有名气而人气不足的尴尬局面。呈贡万溪梨花节、宝珠梨</w:t>
      </w:r>
      <w:r>
        <w:rPr>
          <w:rFonts w:hint="eastAsia" w:ascii="仿宋_GB2312" w:hAnsi="仿宋_GB2312" w:cs="仿宋_GB2312"/>
          <w:kern w:val="0"/>
          <w:szCs w:val="32"/>
          <w:lang w:val="zh-CN"/>
        </w:rPr>
        <w:t>采摘节活动圆满成功，新宝珠梨线上交易首次启动，自行车邀请赛成功举办，健康吴家第二节定向赛成功举办，梨宴菜品成功推介，</w:t>
      </w:r>
      <w:r>
        <w:rPr>
          <w:rFonts w:hint="eastAsia" w:ascii="仿宋_GB2312" w:hAnsi="仿宋_GB2312" w:cs="仿宋_GB2312"/>
          <w:szCs w:val="32"/>
        </w:rPr>
        <w:t>为万溪冲乡村振兴打下坚实基础。</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六、绩效评价结果应用建议</w:t>
      </w:r>
    </w:p>
    <w:p>
      <w:pPr>
        <w:topLinePunct/>
        <w:spacing w:line="560" w:lineRule="exact"/>
        <w:ind w:firstLine="594" w:firstLineChars="200"/>
        <w:rPr>
          <w:rFonts w:ascii="仿宋_GB2312" w:hAnsi="仿宋_GB2312" w:cs="仿宋_GB2312"/>
          <w:szCs w:val="32"/>
        </w:rPr>
      </w:pPr>
      <w:r>
        <w:rPr>
          <w:rFonts w:hint="eastAsia" w:ascii="仿宋_GB2312" w:hAnsi="仿宋_GB2312" w:cs="仿宋_GB2312"/>
          <w:szCs w:val="32"/>
        </w:rPr>
        <w:t>万溪冲果园机耕道路硬化项目是一项惠民工程，建议财政部门以后年度安排资金多做民生工作。</w:t>
      </w:r>
    </w:p>
    <w:p>
      <w:pPr>
        <w:topLinePunct/>
        <w:spacing w:line="560" w:lineRule="exact"/>
        <w:ind w:firstLine="594" w:firstLineChars="200"/>
        <w:rPr>
          <w:rFonts w:ascii="黑体" w:hAnsi="黑体" w:eastAsia="黑体" w:cs="黑体"/>
          <w:szCs w:val="32"/>
        </w:rPr>
      </w:pPr>
      <w:r>
        <w:rPr>
          <w:rFonts w:hint="eastAsia" w:ascii="黑体" w:hAnsi="黑体" w:eastAsia="黑体" w:cs="黑体"/>
          <w:szCs w:val="32"/>
        </w:rPr>
        <w:t>七、存在的问题建议</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绩效自评是一项开展不久的工作任务，项目支出运行实践经验还欠缺，还需不断完善。</w:t>
      </w:r>
    </w:p>
    <w:p>
      <w:pPr>
        <w:spacing w:line="560" w:lineRule="exact"/>
        <w:ind w:firstLine="594" w:firstLineChars="200"/>
        <w:rPr>
          <w:rFonts w:ascii="仿宋_GB2312" w:hAnsi="仿宋_GB2312" w:cs="仿宋_GB2312"/>
          <w:szCs w:val="32"/>
        </w:rPr>
      </w:pPr>
    </w:p>
    <w:p>
      <w:pPr>
        <w:spacing w:line="560" w:lineRule="exact"/>
        <w:ind w:firstLine="594" w:firstLineChars="200"/>
        <w:rPr>
          <w:rFonts w:ascii="仿宋_GB2312" w:hAnsi="仿宋_GB2312" w:cs="仿宋_GB2312"/>
          <w:szCs w:val="32"/>
        </w:rPr>
      </w:pP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 xml:space="preserve">                            </w:t>
      </w:r>
    </w:p>
    <w:p>
      <w:pPr>
        <w:spacing w:line="560" w:lineRule="exact"/>
        <w:ind w:firstLine="594" w:firstLineChars="200"/>
        <w:rPr>
          <w:rFonts w:ascii="仿宋_GB2312" w:hAnsi="仿宋_GB2312" w:cs="仿宋_GB2312"/>
          <w:szCs w:val="32"/>
        </w:rPr>
      </w:pPr>
      <w:r>
        <w:rPr>
          <w:rFonts w:hint="eastAsia" w:ascii="仿宋_GB2312" w:hAnsi="仿宋_GB2312" w:cs="仿宋_GB2312"/>
          <w:szCs w:val="32"/>
        </w:rPr>
        <w:t xml:space="preserve">                                     2021年3月22日</w:t>
      </w:r>
    </w:p>
    <w:sectPr>
      <w:pgSz w:w="11906" w:h="16838"/>
      <w:pgMar w:top="2098" w:right="1531" w:bottom="1985" w:left="1531"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92E"/>
    <w:rsid w:val="00040A96"/>
    <w:rsid w:val="00082482"/>
    <w:rsid w:val="000928B2"/>
    <w:rsid w:val="000C08B7"/>
    <w:rsid w:val="000E2C54"/>
    <w:rsid w:val="000E77D8"/>
    <w:rsid w:val="00146F77"/>
    <w:rsid w:val="00171233"/>
    <w:rsid w:val="001851A1"/>
    <w:rsid w:val="001A57B7"/>
    <w:rsid w:val="00242B1D"/>
    <w:rsid w:val="00270638"/>
    <w:rsid w:val="002A2504"/>
    <w:rsid w:val="00316E67"/>
    <w:rsid w:val="003306F7"/>
    <w:rsid w:val="003477AA"/>
    <w:rsid w:val="0035470B"/>
    <w:rsid w:val="0038743B"/>
    <w:rsid w:val="003E29B8"/>
    <w:rsid w:val="003F630B"/>
    <w:rsid w:val="00447399"/>
    <w:rsid w:val="005A2977"/>
    <w:rsid w:val="006152F7"/>
    <w:rsid w:val="0063041D"/>
    <w:rsid w:val="0063311B"/>
    <w:rsid w:val="00702060"/>
    <w:rsid w:val="00712EE2"/>
    <w:rsid w:val="0072632C"/>
    <w:rsid w:val="007824E7"/>
    <w:rsid w:val="00800975"/>
    <w:rsid w:val="00836366"/>
    <w:rsid w:val="00846A81"/>
    <w:rsid w:val="00897B62"/>
    <w:rsid w:val="00956B7E"/>
    <w:rsid w:val="00973B1C"/>
    <w:rsid w:val="00974866"/>
    <w:rsid w:val="009B2D08"/>
    <w:rsid w:val="009C7801"/>
    <w:rsid w:val="00A7295E"/>
    <w:rsid w:val="00A8068D"/>
    <w:rsid w:val="00A9173A"/>
    <w:rsid w:val="00AA521A"/>
    <w:rsid w:val="00AC4FCA"/>
    <w:rsid w:val="00AF3F8C"/>
    <w:rsid w:val="00B1092E"/>
    <w:rsid w:val="00B4214E"/>
    <w:rsid w:val="00B91E8D"/>
    <w:rsid w:val="00BA0866"/>
    <w:rsid w:val="00BB6BE4"/>
    <w:rsid w:val="00C242E5"/>
    <w:rsid w:val="00C370BF"/>
    <w:rsid w:val="00CB3FF0"/>
    <w:rsid w:val="00D11426"/>
    <w:rsid w:val="00D4787C"/>
    <w:rsid w:val="00D75D7A"/>
    <w:rsid w:val="00DD7928"/>
    <w:rsid w:val="00E3391D"/>
    <w:rsid w:val="00E37563"/>
    <w:rsid w:val="00EA11D5"/>
    <w:rsid w:val="00EC38AA"/>
    <w:rsid w:val="00EE1F11"/>
    <w:rsid w:val="00EF4AA7"/>
    <w:rsid w:val="00EF4C13"/>
    <w:rsid w:val="00EF6C7E"/>
    <w:rsid w:val="00F91CC6"/>
    <w:rsid w:val="00FB4D0E"/>
    <w:rsid w:val="00FE349A"/>
    <w:rsid w:val="05AE36CA"/>
    <w:rsid w:val="0EB64C95"/>
    <w:rsid w:val="3391199D"/>
    <w:rsid w:val="378A5996"/>
    <w:rsid w:val="3E005C67"/>
    <w:rsid w:val="46B50BEB"/>
    <w:rsid w:val="5A3C6978"/>
    <w:rsid w:val="5F4A191C"/>
    <w:rsid w:val="67600811"/>
    <w:rsid w:val="6CF31D2A"/>
    <w:rsid w:val="6D542B2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1"/>
    <w:qFormat/>
    <w:locked/>
    <w:uiPriority w:val="99"/>
    <w:pPr>
      <w:keepNext/>
      <w:keepLines/>
      <w:widowControl/>
      <w:overflowPunct w:val="0"/>
      <w:autoSpaceDE w:val="0"/>
      <w:autoSpaceDN w:val="0"/>
      <w:adjustRightInd w:val="0"/>
      <w:spacing w:before="340" w:after="330" w:line="578" w:lineRule="auto"/>
      <w:outlineLvl w:val="0"/>
    </w:pPr>
    <w:rPr>
      <w:rFonts w:ascii="Times New Roman" w:hAnsi="Times New Roman" w:eastAsia="宋体"/>
      <w:b/>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1 Char"/>
    <w:basedOn w:val="6"/>
    <w:link w:val="2"/>
    <w:qFormat/>
    <w:locked/>
    <w:uiPriority w:val="99"/>
    <w:rPr>
      <w:rFonts w:eastAsia="仿宋_GB2312" w:cs="Times New Roman"/>
      <w:b/>
      <w:bCs/>
      <w:kern w:val="44"/>
      <w:sz w:val="44"/>
      <w:szCs w:val="44"/>
    </w:rPr>
  </w:style>
  <w:style w:type="character" w:customStyle="1" w:styleId="8">
    <w:name w:val="页眉 Char"/>
    <w:basedOn w:val="6"/>
    <w:link w:val="4"/>
    <w:qFormat/>
    <w:locked/>
    <w:uiPriority w:val="99"/>
    <w:rPr>
      <w:rFonts w:eastAsia="仿宋_GB2312" w:cs="Times New Roman"/>
      <w:kern w:val="2"/>
      <w:sz w:val="18"/>
      <w:szCs w:val="18"/>
    </w:rPr>
  </w:style>
  <w:style w:type="character" w:customStyle="1" w:styleId="9">
    <w:name w:val="页脚 Char"/>
    <w:basedOn w:val="6"/>
    <w:link w:val="3"/>
    <w:qFormat/>
    <w:locked/>
    <w:uiPriority w:val="99"/>
    <w:rPr>
      <w:rFonts w:eastAsia="仿宋_GB2312" w:cs="Times New Roman"/>
      <w:kern w:val="2"/>
      <w:sz w:val="18"/>
      <w:szCs w:val="18"/>
    </w:rPr>
  </w:style>
  <w:style w:type="paragraph" w:customStyle="1" w:styleId="10">
    <w:name w:val="列出段落1"/>
    <w:basedOn w:val="1"/>
    <w:qFormat/>
    <w:uiPriority w:val="99"/>
    <w:pPr>
      <w:ind w:firstLine="420" w:firstLineChars="200"/>
    </w:pPr>
    <w:rPr>
      <w:rFonts w:eastAsia="宋体"/>
      <w:sz w:val="21"/>
    </w:rPr>
  </w:style>
  <w:style w:type="character" w:customStyle="1" w:styleId="11">
    <w:name w:val="标题 1 Char"/>
    <w:basedOn w:val="6"/>
    <w:link w:val="2"/>
    <w:qFormat/>
    <w:locked/>
    <w:uiPriority w:val="99"/>
    <w:rPr>
      <w:rFonts w:eastAsia="宋体" w:cs="Times New Roman"/>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264</Words>
  <Characters>1511</Characters>
  <Lines>12</Lines>
  <Paragraphs>3</Paragraphs>
  <TotalTime>7</TotalTime>
  <ScaleCrop>false</ScaleCrop>
  <LinksUpToDate>false</LinksUpToDate>
  <CharactersWithSpaces>1772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2018-04-01T01:48:00Z</dcterms:created>
  <dc:creator>jyjcg</dc:creator>
  <cp:lastModifiedBy>Administrator</cp:lastModifiedBy>
  <dcterms:modified xsi:type="dcterms:W3CDTF">2021-09-01T01:42:30Z</dcterms:modified>
  <dc:title>项目支出绩效报告（自评）</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