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ind w:firstLine="834" w:firstLineChars="200"/>
        <w:jc w:val="center"/>
        <w:rPr>
          <w:rFonts w:ascii="仿宋_GB2312"/>
          <w:b/>
          <w:sz w:val="44"/>
          <w:szCs w:val="44"/>
        </w:rPr>
      </w:pPr>
      <w:r>
        <w:rPr>
          <w:rFonts w:hint="eastAsia" w:ascii="方正小标宋_GBK" w:eastAsia="方正小标宋_GBK"/>
          <w:sz w:val="44"/>
          <w:szCs w:val="44"/>
          <w:lang w:eastAsia="zh-CN"/>
        </w:rPr>
        <w:t>昆明市呈贡区教育信息中心</w:t>
      </w:r>
      <w:r>
        <w:rPr>
          <w:rFonts w:hint="eastAsia" w:ascii="方正小标宋_GBK" w:eastAsia="方正小标宋_GBK"/>
          <w:sz w:val="44"/>
          <w:szCs w:val="44"/>
        </w:rPr>
        <w:t>20</w:t>
      </w:r>
      <w:r>
        <w:rPr>
          <w:rFonts w:hint="eastAsia" w:ascii="方正小标宋_GBK" w:eastAsia="方正小标宋_GBK"/>
          <w:sz w:val="44"/>
          <w:szCs w:val="44"/>
          <w:lang w:val="en-US" w:eastAsia="zh-CN"/>
        </w:rPr>
        <w:t>20</w:t>
      </w:r>
      <w:r>
        <w:rPr>
          <w:rFonts w:hint="eastAsia" w:ascii="方正小标宋_GBK" w:eastAsia="方正小标宋_GBK"/>
          <w:sz w:val="44"/>
          <w:szCs w:val="44"/>
        </w:rPr>
        <w:t>年</w:t>
      </w:r>
      <w:r>
        <w:rPr>
          <w:rFonts w:hint="eastAsia" w:ascii="方正小标宋_GBK" w:eastAsia="方正小标宋_GBK"/>
          <w:sz w:val="44"/>
          <w:szCs w:val="44"/>
          <w:lang w:eastAsia="zh-CN"/>
        </w:rPr>
        <w:t>教师培训经费</w:t>
      </w:r>
      <w:r>
        <w:rPr>
          <w:rFonts w:ascii="方正小标宋_GBK" w:eastAsia="方正小标宋_GBK"/>
          <w:sz w:val="44"/>
          <w:szCs w:val="44"/>
        </w:rPr>
        <w:t>项目支出绩效评价报告</w:t>
      </w:r>
    </w:p>
    <w:p>
      <w:pPr>
        <w:topLinePunct/>
        <w:ind w:firstLine="594" w:firstLineChars="200"/>
        <w:rPr>
          <w:rFonts w:hint="eastAsia" w:ascii="黑体" w:eastAsia="黑体"/>
          <w:szCs w:val="32"/>
        </w:rPr>
      </w:pP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楷体_GB2312" w:hAnsi="仿宋" w:eastAsia="楷体_GB2312" w:cs="Times New Roman"/>
          <w:b w:val="0"/>
          <w:bCs/>
          <w:sz w:val="32"/>
          <w:szCs w:val="32"/>
          <w:lang w:val="en-US" w:eastAsia="zh-CN"/>
        </w:rPr>
      </w:pPr>
      <w:r>
        <w:rPr>
          <w:rFonts w:hint="eastAsia" w:ascii="仿宋_GB2312"/>
          <w:szCs w:val="32"/>
          <w:lang w:val="en-US" w:eastAsia="zh-CN"/>
        </w:rPr>
        <w:t>（一）</w:t>
      </w:r>
      <w:r>
        <w:rPr>
          <w:rFonts w:hint="eastAsia" w:ascii="楷体_GB2312" w:hAnsi="仿宋" w:eastAsia="楷体_GB2312" w:cs="Times New Roman"/>
          <w:b w:val="0"/>
          <w:bCs/>
          <w:sz w:val="32"/>
          <w:szCs w:val="32"/>
          <w:lang w:val="en-US" w:eastAsia="zh-CN"/>
        </w:rPr>
        <w:t>项目概况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rPr>
      </w:pPr>
      <w:r>
        <w:rPr>
          <w:rFonts w:hint="eastAsia" w:ascii="仿宋_GB2312"/>
          <w:szCs w:val="32"/>
        </w:rPr>
        <w:t>教育信息中心积极开展中小学幼儿园各项学科教研活动、课题研究、研训人员能力提升。</w:t>
      </w:r>
      <w:r>
        <w:rPr>
          <w:rFonts w:hint="eastAsia" w:ascii="仿宋_GB2312"/>
          <w:szCs w:val="32"/>
          <w:lang w:val="en-US" w:eastAsia="zh-CN"/>
        </w:rPr>
        <w:t>2020年，</w:t>
      </w:r>
      <w:r>
        <w:rPr>
          <w:rFonts w:hint="eastAsia" w:ascii="仿宋_GB2312"/>
          <w:szCs w:val="32"/>
        </w:rPr>
        <w:t>指导学校（幼儿园）申报云南省哲学社会科学和云南省教育科学研究课题共计10项；组织区级课题申报共计117个，通过评审，立项25个；对36个市、区级在研课题进行了中期检查和指导；对25个呈贡区2020年课题进行了开题论证培训及面对面指导，对9个昆明市“十三五”第三批课题和12个呈贡区2018年区级课题做了结题鉴定培训；完成了2020年呈贡区25个区级课题的开题论证，邀请昆明市教科院专家对昆明市“十三五”第二、三批12个课题进行了结题鉴定；帮扶基层校园开展课题研究，指导昆三中11个、呈贡一中10个、呈贡二幼5个、育才学校5个校级课题的开题论证。结合工作实际聘请专家有针对地开展培训和指导。研训人员能力提升、中小学幼儿教师学科教研活动及负责课题研究人员研究能力提升指导培训。</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rPr>
      </w:pPr>
      <w:r>
        <w:rPr>
          <w:rFonts w:hint="eastAsia" w:ascii="仿宋_GB2312"/>
          <w:szCs w:val="32"/>
        </w:rPr>
        <w:t>（二）</w:t>
      </w:r>
      <w:r>
        <w:rPr>
          <w:rFonts w:hint="eastAsia" w:ascii="楷体_GB2312" w:hAnsi="仿宋" w:eastAsia="楷体_GB2312" w:cs="Times New Roman"/>
          <w:b w:val="0"/>
          <w:bCs/>
          <w:sz w:val="32"/>
          <w:szCs w:val="32"/>
          <w:lang w:val="en-US" w:eastAsia="zh-CN"/>
        </w:rPr>
        <w:t>绩效目标设定及指标完成情况</w:t>
      </w:r>
    </w:p>
    <w:p>
      <w:pPr>
        <w:keepNext w:val="0"/>
        <w:keepLines w:val="0"/>
        <w:pageBreakBefore w:val="0"/>
        <w:widowControl w:val="0"/>
        <w:kinsoku/>
        <w:wordWrap/>
        <w:overflow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rPr>
        <w:t>研训人员深入基层指导基层校本研训工作，不断提高研训能力。完成国培计划、省培计划、市级骨干教师等各项培训指标任务。</w:t>
      </w:r>
      <w:r>
        <w:rPr>
          <w:rFonts w:hint="eastAsia" w:ascii="仿宋_GB2312"/>
          <w:szCs w:val="32"/>
          <w:lang w:eastAsia="zh-CN"/>
        </w:rPr>
        <w:t>一是</w:t>
      </w:r>
      <w:r>
        <w:rPr>
          <w:rFonts w:hint="eastAsia" w:ascii="仿宋_GB2312"/>
          <w:szCs w:val="32"/>
        </w:rPr>
        <w:t>遴选271名中小学幼儿园管理者和教师、教育信息中心研训人员参加相应的学段、学科培训，完成上级安排的各项培训指标。遴选22名中小学幼儿园教师进入昆明市第五届名师工作室和首批“春城计划”教学名师工作室学习。组织呈贡区公民办2062名教师参加“昆明市远程网络课程”在线学习培训。组织教师155人报名参加昆明市安排的“深入学习贯彻党的十九届四中全会精神 推进教育治理体系和治理能力现代化”专题网络培训。</w:t>
      </w:r>
      <w:r>
        <w:rPr>
          <w:rFonts w:hint="eastAsia" w:ascii="仿宋_GB2312"/>
          <w:szCs w:val="32"/>
          <w:lang w:eastAsia="zh-CN"/>
        </w:rPr>
        <w:t>二是</w:t>
      </w:r>
      <w:r>
        <w:rPr>
          <w:rFonts w:hint="eastAsia" w:ascii="仿宋_GB2312"/>
          <w:szCs w:val="32"/>
        </w:rPr>
        <w:t>与师专附小、川师大附属实验学校、民大附小、中华小学、云大附中、西南联大、云南师范大学附属七彩云南小学开展“沉浸式驻校研训”，培训人数达2850人。</w:t>
      </w:r>
      <w:r>
        <w:rPr>
          <w:rFonts w:hint="eastAsia" w:ascii="仿宋_GB2312"/>
          <w:szCs w:val="32"/>
          <w:lang w:eastAsia="zh-CN"/>
        </w:rPr>
        <w:t>三是组织</w:t>
      </w:r>
      <w:r>
        <w:rPr>
          <w:rFonts w:hint="eastAsia" w:ascii="仿宋_GB2312"/>
          <w:szCs w:val="32"/>
        </w:rPr>
        <w:t>呈贡区42个名校（园）长工作基地、各中小学、幼儿园名师工作室按本基地和工作室工作计划开展工作基地、工作室主题活动194次，面向全区公开的活动37次，其中网络研修活动11次。</w:t>
      </w:r>
      <w:r>
        <w:rPr>
          <w:rFonts w:hint="eastAsia" w:ascii="仿宋_GB2312"/>
          <w:szCs w:val="32"/>
          <w:lang w:eastAsia="zh-CN"/>
        </w:rPr>
        <w:t>四是开展2020年招考录用的360名新教师岗前培训。9月启动新教师培训，截止12月，小学语文、数学、英语学科每月集中研修344人次，高中每月集中研修532人次，355名中小学幼儿园新教师参加为期两个月的网络研修。五是</w:t>
      </w:r>
      <w:r>
        <w:rPr>
          <w:rFonts w:hint="eastAsia" w:ascii="仿宋_GB2312"/>
          <w:szCs w:val="32"/>
        </w:rPr>
        <w:t>做好全区中小学幼儿园</w:t>
      </w:r>
      <w:r>
        <w:rPr>
          <w:rFonts w:hint="eastAsia" w:ascii="仿宋_GB2312"/>
          <w:szCs w:val="32"/>
          <w:lang w:eastAsia="zh-CN"/>
        </w:rPr>
        <w:t>校本</w:t>
      </w:r>
      <w:r>
        <w:rPr>
          <w:rFonts w:hint="eastAsia" w:ascii="仿宋_GB2312"/>
          <w:szCs w:val="32"/>
        </w:rPr>
        <w:t>培训考核</w:t>
      </w:r>
      <w:r>
        <w:rPr>
          <w:rFonts w:hint="eastAsia" w:ascii="仿宋_GB2312"/>
          <w:szCs w:val="32"/>
          <w:lang w:eastAsia="zh-CN"/>
        </w:rPr>
        <w:t>，</w:t>
      </w:r>
      <w:r>
        <w:rPr>
          <w:rFonts w:hint="eastAsia" w:ascii="仿宋_GB2312"/>
          <w:szCs w:val="32"/>
        </w:rPr>
        <w:t>加强教师队伍建设，继续实施中小学幼儿园教师素质提升计划。</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宋体" w:hAnsi="宋体" w:eastAsia="宋体" w:cs="Calibri"/>
          <w:b/>
          <w:szCs w:val="32"/>
        </w:rPr>
      </w:pPr>
      <w:r>
        <w:rPr>
          <w:rFonts w:hint="eastAsia" w:ascii="仿宋_GB2312" w:hAnsi="仿宋_GB2312" w:cs="仿宋_GB2312"/>
          <w:szCs w:val="32"/>
        </w:rPr>
        <w:t>教育信息中心积极开展中小学幼儿园各项学科教研活动、课题研究、研训人员能力提升。20</w:t>
      </w:r>
      <w:r>
        <w:rPr>
          <w:rFonts w:hint="eastAsia" w:ascii="仿宋_GB2312" w:hAnsi="仿宋_GB2312" w:cs="仿宋_GB2312"/>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eastAsia="zh-CN"/>
        </w:rPr>
        <w:t>教师培训费用326951元；下拨云大附中呈贡校区、师大附小呈贡校区、师专附小呈贡海岸城分校、呈贡区第二幼儿园等</w:t>
      </w:r>
      <w:r>
        <w:rPr>
          <w:rFonts w:hint="eastAsia" w:ascii="仿宋_GB2312" w:hAnsi="仿宋_GB2312" w:cs="仿宋_GB2312"/>
          <w:szCs w:val="32"/>
          <w:lang w:val="en-US" w:eastAsia="zh-CN"/>
        </w:rPr>
        <w:t>21所中小学幼儿园</w:t>
      </w:r>
      <w:r>
        <w:rPr>
          <w:rFonts w:hint="eastAsia" w:ascii="仿宋_GB2312" w:hAnsi="仿宋_GB2312" w:cs="仿宋_GB2312"/>
          <w:szCs w:val="32"/>
          <w:lang w:eastAsia="zh-CN"/>
        </w:rPr>
        <w:t>2020年度名师名长经费2600000元；外请专家讲课费用</w:t>
      </w:r>
      <w:r>
        <w:rPr>
          <w:rFonts w:hint="eastAsia" w:ascii="仿宋_GB2312" w:hAnsi="仿宋_GB2312" w:cs="仿宋_GB2312"/>
          <w:szCs w:val="32"/>
          <w:lang w:val="en-US" w:eastAsia="zh-CN"/>
        </w:rPr>
        <w:t>37150元；拨七彩云南小学沉浸式研训培训费80000元，四项合计</w:t>
      </w:r>
      <w:r>
        <w:rPr>
          <w:rFonts w:hint="eastAsia" w:ascii="仿宋_GB2312" w:hAnsi="仿宋_GB2312" w:cs="仿宋_GB2312"/>
          <w:szCs w:val="32"/>
        </w:rPr>
        <w:t>3044101元。</w:t>
      </w:r>
      <w:r>
        <w:rPr>
          <w:rFonts w:hint="eastAsia" w:ascii="仿宋_GB2312"/>
          <w:szCs w:val="32"/>
        </w:rPr>
        <w:t>20</w:t>
      </w:r>
      <w:r>
        <w:rPr>
          <w:rFonts w:hint="eastAsia" w:ascii="仿宋_GB2312"/>
          <w:szCs w:val="32"/>
          <w:lang w:val="en-US" w:eastAsia="zh-CN"/>
        </w:rPr>
        <w:t>20</w:t>
      </w:r>
      <w:r>
        <w:rPr>
          <w:rFonts w:hint="eastAsia" w:ascii="仿宋_GB2312"/>
          <w:szCs w:val="32"/>
        </w:rPr>
        <w:t>年部门项目支出资金按预算批文及时到账，按财务及财经法规进行资金的管理，做到专款专用。</w:t>
      </w:r>
      <w:r>
        <w:rPr>
          <w:rFonts w:hint="eastAsia" w:ascii="仿宋_GB2312" w:hAnsi="宋体"/>
          <w:szCs w:val="32"/>
        </w:rPr>
        <w:t>年底做好绩效相关工作，及时根据上级部门文件进行绩效的公开，接受社会公众的监督。</w:t>
      </w:r>
      <w:r>
        <w:rPr>
          <w:rFonts w:ascii="宋体" w:hAnsi="宋体" w:eastAsia="宋体" w:cs="Calibri"/>
          <w:b/>
          <w:bCs/>
          <w:szCs w:val="32"/>
        </w:rPr>
        <w:t xml:space="preserve"> </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cs="仿宋_GB2312"/>
          <w:b w:val="0"/>
          <w:bCs w:val="0"/>
          <w:szCs w:val="32"/>
          <w:lang w:eastAsia="zh-CN"/>
        </w:rPr>
      </w:pPr>
      <w:r>
        <w:rPr>
          <w:rFonts w:hint="eastAsia" w:ascii="仿宋_GB2312" w:hAnsi="仿宋_GB2312" w:eastAsia="仿宋_GB2312" w:cs="仿宋_GB2312"/>
          <w:b w:val="0"/>
          <w:bCs w:val="0"/>
          <w:szCs w:val="32"/>
        </w:rPr>
        <w:t>工作组做好</w:t>
      </w:r>
      <w:r>
        <w:rPr>
          <w:rFonts w:hint="eastAsia" w:ascii="仿宋_GB2312" w:hAnsi="仿宋_GB2312" w:cs="仿宋_GB2312"/>
          <w:b w:val="0"/>
          <w:bCs w:val="0"/>
          <w:szCs w:val="32"/>
          <w:lang w:eastAsia="zh-CN"/>
        </w:rPr>
        <w:t>教师研训</w:t>
      </w:r>
      <w:r>
        <w:rPr>
          <w:rFonts w:hint="eastAsia" w:ascii="仿宋_GB2312" w:hAnsi="仿宋_GB2312" w:eastAsia="仿宋_GB2312" w:cs="仿宋_GB2312"/>
          <w:b w:val="0"/>
          <w:bCs w:val="0"/>
          <w:szCs w:val="32"/>
        </w:rPr>
        <w:t>工作前期调研，充分了解相关情况，并明确评价工作的方式方法，收集查阅与评价项目有关的政策，如专项资金管理办法。搜集与评价项目有关的法律、法规和制度，项目立项申报有关资料，项目预算申报书，专项资金管理办法，行业标准等。</w:t>
      </w:r>
      <w:r>
        <w:rPr>
          <w:rFonts w:hint="eastAsia" w:ascii="仿宋_GB2312" w:hAnsi="仿宋_GB2312" w:eastAsia="仿宋_GB2312" w:cs="仿宋_GB2312"/>
          <w:b w:val="0"/>
          <w:bCs w:val="0"/>
          <w:color w:val="000000"/>
          <w:kern w:val="0"/>
          <w:szCs w:val="32"/>
        </w:rPr>
        <w:t>按质、按量、按时、完成各项培训计划，</w:t>
      </w:r>
      <w:r>
        <w:rPr>
          <w:rFonts w:hint="eastAsia" w:ascii="仿宋_GB2312" w:hAnsi="仿宋_GB2312" w:eastAsia="仿宋_GB2312" w:cs="仿宋_GB2312"/>
          <w:b w:val="0"/>
          <w:bCs w:val="0"/>
          <w:szCs w:val="32"/>
        </w:rPr>
        <w:t>中小学幼儿园教师全员参训，收获效果明显；提升教学水平，提高了中小学幼儿园教师的素质，师生共享优质教学资源；教师研训工作受到了广大教师的欢迎和支持，引领中小学幼儿园教师培训学习，研究教学，实现人人参与，人人收获，教师培训工作受到了广大教师的欢迎和支持，收获效果明显。预算执行进度按要求在各时间节点达到预算执行进度的目标</w:t>
      </w:r>
      <w:r>
        <w:rPr>
          <w:rFonts w:hint="eastAsia" w:ascii="仿宋_GB2312" w:hAnsi="仿宋_GB2312" w:cs="仿宋_GB2312"/>
          <w:b w:val="0"/>
          <w:bCs w:val="0"/>
          <w:szCs w:val="32"/>
          <w:lang w:eastAsia="zh-CN"/>
        </w:rPr>
        <w:t>。</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四、项目绩效情况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xml:space="preserve">遵循“实事求是、统筹安排、合理规划”的原则进行项目支出绩效的管理；实行规范操作、动态监督，年终把关，对项目支出绩效管理工作的内容和质量情况进行职责分工监管，有效推进项目支出绩效管理工作难点，突出绩效管理工作的操作性。合理、安全、高效使用财政资金，按要求在各时间节点达到项目支出绩效的目标，确保项目支出绩效符合客观实际。做深做细绩效评价管理工作，确保数据的准确，按质按量报送数据和相关资料；在上级业务主管部门的指导下更好的完成项目支出绩效工作。 </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eastAsia="仿宋_GB2312"/>
          <w:szCs w:val="32"/>
          <w:lang w:eastAsia="zh-CN"/>
        </w:rPr>
      </w:pPr>
      <w:r>
        <w:rPr>
          <w:rFonts w:hint="eastAsia" w:ascii="仿宋_GB2312"/>
          <w:szCs w:val="32"/>
          <w:lang w:eastAsia="zh-CN"/>
        </w:rPr>
        <w:t>教师培训经费年初预算按照教育附加费的5%和教育系统工资总额的2%结合工作计划开展预算。立项充分，严格按照专项资金管理办法列支，资金专款专用，合理规范，资金分配合理、拨付及时，无滞留闲置、违规截留等不规范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楷体_GB2312" w:hAnsi="仿宋" w:eastAsia="楷体_GB2312" w:cs="Times New Roman"/>
          <w:b w:val="0"/>
          <w:bCs/>
          <w:sz w:val="32"/>
          <w:szCs w:val="32"/>
          <w:lang w:val="en-US" w:eastAsia="zh-CN"/>
        </w:rPr>
      </w:pPr>
      <w:r>
        <w:rPr>
          <w:rFonts w:hint="eastAsia" w:ascii="仿宋_GB2312"/>
          <w:szCs w:val="32"/>
        </w:rPr>
        <w:t>（一）</w:t>
      </w:r>
      <w:r>
        <w:rPr>
          <w:rFonts w:hint="eastAsia" w:ascii="楷体_GB2312" w:hAnsi="仿宋" w:eastAsia="楷体_GB2312" w:cs="Times New Roman"/>
          <w:b w:val="0"/>
          <w:bCs/>
          <w:sz w:val="32"/>
          <w:szCs w:val="32"/>
          <w:lang w:val="en-US" w:eastAsia="zh-CN"/>
        </w:rPr>
        <w:t>后续工作计划</w:t>
      </w:r>
    </w:p>
    <w:p>
      <w:pPr>
        <w:keepNext w:val="0"/>
        <w:keepLines w:val="0"/>
        <w:pageBreakBefore w:val="0"/>
        <w:widowControl w:val="0"/>
        <w:kinsoku/>
        <w:wordWrap/>
        <w:overflowPunct/>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lang w:eastAsia="zh-CN"/>
        </w:rPr>
      </w:pPr>
      <w:r>
        <w:rPr>
          <w:rFonts w:hint="eastAsia" w:ascii="仿宋_GB2312" w:hAnsi="仿宋_GB2312" w:cs="仿宋_GB2312"/>
          <w:b w:val="0"/>
          <w:bCs w:val="0"/>
          <w:szCs w:val="32"/>
          <w:lang w:eastAsia="zh-CN"/>
        </w:rPr>
        <w:t>今后工作将严格按照教师培训计划有序开展。</w:t>
      </w:r>
    </w:p>
    <w:p>
      <w:pPr>
        <w:keepNext w:val="0"/>
        <w:keepLines w:val="0"/>
        <w:pageBreakBefore w:val="0"/>
        <w:widowControl/>
        <w:kinsoku/>
        <w:wordWrap w:val="0"/>
        <w:overflowPunct/>
        <w:autoSpaceDE/>
        <w:autoSpaceDN/>
        <w:bidi w:val="0"/>
        <w:adjustRightInd/>
        <w:snapToGrid/>
        <w:spacing w:line="560" w:lineRule="exact"/>
        <w:ind w:firstLine="480"/>
        <w:jc w:val="left"/>
        <w:textAlignment w:val="auto"/>
        <w:rPr>
          <w:rFonts w:hint="eastAsia" w:ascii="楷体_GB2312" w:hAnsi="仿宋" w:eastAsia="楷体_GB2312" w:cs="Times New Roman"/>
          <w:b w:val="0"/>
          <w:bCs/>
          <w:sz w:val="32"/>
          <w:szCs w:val="32"/>
          <w:lang w:val="en-US" w:eastAsia="zh-CN"/>
        </w:rPr>
      </w:pPr>
      <w:r>
        <w:rPr>
          <w:rFonts w:hint="eastAsia" w:ascii="方正楷体_GBK" w:hAnsi="方正楷体_GBK" w:eastAsia="方正楷体_GBK" w:cs="方正楷体_GBK"/>
          <w:kern w:val="0"/>
          <w:sz w:val="32"/>
          <w:szCs w:val="32"/>
        </w:rPr>
        <w:t>（二）</w:t>
      </w:r>
      <w:r>
        <w:rPr>
          <w:rFonts w:hint="eastAsia" w:ascii="楷体_GB2312" w:hAnsi="仿宋" w:eastAsia="楷体_GB2312" w:cs="Times New Roman"/>
          <w:b w:val="0"/>
          <w:bCs/>
          <w:sz w:val="32"/>
          <w:szCs w:val="32"/>
          <w:lang w:val="en-US" w:eastAsia="zh-CN"/>
        </w:rPr>
        <w:t>主要经验做法、改进措施和有关建议</w:t>
      </w:r>
    </w:p>
    <w:p>
      <w:pPr>
        <w:keepNext w:val="0"/>
        <w:keepLines w:val="0"/>
        <w:pageBreakBefore w:val="0"/>
        <w:widowControl w:val="0"/>
        <w:kinsoku/>
        <w:wordWrap/>
        <w:overflowPunct/>
        <w:topLinePunct w:val="0"/>
        <w:autoSpaceDE/>
        <w:autoSpaceDN/>
        <w:bidi w:val="0"/>
        <w:adjustRightInd/>
        <w:snapToGrid/>
        <w:spacing w:line="560" w:lineRule="atLeast"/>
        <w:ind w:firstLine="594"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rPr>
        <w:t>财政预算资金支出绩效评价工作的开展，大大提高了资金的使用效率，促进各项工作的发展，但因新形势下的财务制度及从业人员的业务要求还有一定的差距，建议加强财务管理人员及财务人员的培训，不断提高业务素质，建立一支适应新形势财务制度下的财务人员队伍。</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right"/>
        <w:textAlignment w:val="auto"/>
        <w:rPr>
          <w:rFonts w:hint="eastAsia" w:ascii="仿宋_GB2312"/>
          <w:szCs w:val="32"/>
        </w:rPr>
      </w:pPr>
    </w:p>
    <w:p>
      <w:pPr>
        <w:keepNext w:val="0"/>
        <w:keepLines w:val="0"/>
        <w:pageBreakBefore w:val="0"/>
        <w:widowControl w:val="0"/>
        <w:kinsoku/>
        <w:wordWrap/>
        <w:overflowPunct/>
        <w:topLinePunct/>
        <w:autoSpaceDE/>
        <w:autoSpaceDN/>
        <w:bidi w:val="0"/>
        <w:adjustRightInd/>
        <w:snapToGrid/>
        <w:spacing w:line="560" w:lineRule="atLeast"/>
        <w:ind w:firstLine="594" w:firstLineChars="200"/>
        <w:jc w:val="right"/>
        <w:textAlignment w:val="auto"/>
        <w:rPr>
          <w:rFonts w:hint="eastAsia" w:ascii="仿宋_GB2312"/>
          <w:szCs w:val="32"/>
        </w:rPr>
      </w:pPr>
      <w:bookmarkStart w:id="0" w:name="_GoBack"/>
      <w:bookmarkEnd w:id="0"/>
      <w:r>
        <w:rPr>
          <w:rFonts w:hint="eastAsia" w:ascii="仿宋_GB2312"/>
          <w:szCs w:val="32"/>
        </w:rPr>
        <w:t>昆明市呈贡区教育信息中心</w:t>
      </w:r>
    </w:p>
    <w:p>
      <w:pPr>
        <w:keepNext w:val="0"/>
        <w:keepLines w:val="0"/>
        <w:pageBreakBefore w:val="0"/>
        <w:widowControl w:val="0"/>
        <w:kinsoku/>
        <w:wordWrap/>
        <w:overflowPunct/>
        <w:topLinePunct/>
        <w:autoSpaceDE/>
        <w:autoSpaceDN/>
        <w:bidi w:val="0"/>
        <w:adjustRightInd/>
        <w:snapToGrid/>
        <w:spacing w:line="560" w:lineRule="atLeast"/>
        <w:ind w:right="592" w:firstLine="594" w:firstLineChars="200"/>
        <w:jc w:val="right"/>
        <w:textAlignment w:val="auto"/>
        <w:rPr>
          <w:rFonts w:ascii="仿宋_GB2312"/>
          <w:szCs w:val="32"/>
        </w:rPr>
      </w:pPr>
      <w:r>
        <w:rPr>
          <w:rFonts w:hint="eastAsia" w:ascii="仿宋_GB2312"/>
          <w:szCs w:val="32"/>
        </w:rPr>
        <w:t>202</w:t>
      </w:r>
      <w:r>
        <w:rPr>
          <w:rFonts w:hint="eastAsia" w:ascii="仿宋_GB2312"/>
          <w:szCs w:val="32"/>
          <w:lang w:val="en-US" w:eastAsia="zh-CN"/>
        </w:rPr>
        <w:t>1</w:t>
      </w:r>
      <w:r>
        <w:rPr>
          <w:rFonts w:hint="eastAsia" w:ascii="仿宋_GB2312"/>
          <w:szCs w:val="32"/>
        </w:rPr>
        <w:t>年</w:t>
      </w:r>
      <w:r>
        <w:rPr>
          <w:rFonts w:hint="eastAsia" w:ascii="仿宋_GB2312"/>
          <w:szCs w:val="32"/>
          <w:lang w:val="en-US" w:eastAsia="zh-CN"/>
        </w:rPr>
        <w:t>3</w:t>
      </w:r>
      <w:r>
        <w:rPr>
          <w:rFonts w:hint="eastAsia" w:ascii="仿宋_GB2312"/>
          <w:szCs w:val="32"/>
        </w:rPr>
        <w:t>月</w:t>
      </w:r>
      <w:r>
        <w:rPr>
          <w:rFonts w:hint="eastAsia" w:ascii="仿宋_GB2312"/>
          <w:szCs w:val="32"/>
          <w:lang w:val="en-US" w:eastAsia="zh-CN"/>
        </w:rPr>
        <w:t>15</w:t>
      </w:r>
      <w:r>
        <w:rPr>
          <w:rFonts w:hint="eastAsia" w:ascii="仿宋_GB2312"/>
          <w:szCs w:val="32"/>
        </w:rPr>
        <w:t>日</w:t>
      </w:r>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70"/>
    <w:rsid w:val="0033457E"/>
    <w:rsid w:val="00472A31"/>
    <w:rsid w:val="005368F7"/>
    <w:rsid w:val="00591658"/>
    <w:rsid w:val="006006F8"/>
    <w:rsid w:val="0064096F"/>
    <w:rsid w:val="008421FC"/>
    <w:rsid w:val="009046AD"/>
    <w:rsid w:val="00D079E5"/>
    <w:rsid w:val="00D40D70"/>
    <w:rsid w:val="00EE6609"/>
    <w:rsid w:val="00F12085"/>
    <w:rsid w:val="02666C4D"/>
    <w:rsid w:val="049C6ED4"/>
    <w:rsid w:val="059A209F"/>
    <w:rsid w:val="05A22040"/>
    <w:rsid w:val="05AE36CA"/>
    <w:rsid w:val="0742106A"/>
    <w:rsid w:val="1035347D"/>
    <w:rsid w:val="1787664E"/>
    <w:rsid w:val="1A2A1F77"/>
    <w:rsid w:val="1EAC67EC"/>
    <w:rsid w:val="24F05717"/>
    <w:rsid w:val="27BA673D"/>
    <w:rsid w:val="300800FD"/>
    <w:rsid w:val="378A5996"/>
    <w:rsid w:val="391A65DE"/>
    <w:rsid w:val="3D5433DA"/>
    <w:rsid w:val="41E70B70"/>
    <w:rsid w:val="43917ADB"/>
    <w:rsid w:val="44807647"/>
    <w:rsid w:val="46123039"/>
    <w:rsid w:val="4FA05ABE"/>
    <w:rsid w:val="53CB4599"/>
    <w:rsid w:val="57321CB1"/>
    <w:rsid w:val="5A3C6978"/>
    <w:rsid w:val="5A703C51"/>
    <w:rsid w:val="5D7B3A53"/>
    <w:rsid w:val="6115679F"/>
    <w:rsid w:val="63B15D34"/>
    <w:rsid w:val="67600811"/>
    <w:rsid w:val="72BB6885"/>
    <w:rsid w:val="78C74162"/>
    <w:rsid w:val="7903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235</Words>
  <Characters>1340</Characters>
  <Lines>11</Lines>
  <Paragraphs>3</Paragraphs>
  <TotalTime>26</TotalTime>
  <ScaleCrop>false</ScaleCrop>
  <LinksUpToDate>false</LinksUpToDate>
  <CharactersWithSpaces>1572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dcterms:modified xsi:type="dcterms:W3CDTF">2021-09-01T02:50:02Z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