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（自评）</w:t>
      </w:r>
      <w:r>
        <w:rPr>
          <w:rFonts w:hint="eastAsia" w:ascii="方正小标宋_GBK" w:eastAsia="方正小标宋_GBK"/>
          <w:sz w:val="36"/>
          <w:szCs w:val="36"/>
        </w:rPr>
        <w:t>（参考提纲）</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（一）项目基本情况简介，包括项目基本性质、用途和主要内容、涉及范围等。</w:t>
      </w:r>
    </w:p>
    <w:p>
      <w:pPr>
        <w:widowControl w:val="0"/>
        <w:adjustRightInd w:val="0"/>
        <w:snapToGrid w:val="0"/>
        <w:spacing w:line="580" w:lineRule="exact"/>
        <w:ind w:firstLine="594" w:firstLineChars="200"/>
        <w:textAlignment w:val="baseline"/>
        <w:rPr>
          <w:rFonts w:hint="default" w:ascii="仿宋_GB2312"/>
          <w:szCs w:val="32"/>
          <w:lang w:val="en-US"/>
        </w:rPr>
      </w:pPr>
      <w:r>
        <w:rPr>
          <w:rFonts w:hint="eastAsia" w:ascii="仿宋_GB2312" w:hAnsi="Times New Roman" w:eastAsia="仿宋_GB2312" w:cs="Times New Roman"/>
          <w:color w:val="000000"/>
          <w:kern w:val="0"/>
          <w:sz w:val="32"/>
          <w:szCs w:val="32"/>
          <w:u w:val="none" w:color="000000"/>
          <w:lang w:val="en-US" w:eastAsia="zh-CN"/>
        </w:rPr>
        <w:t>根据昆明市城市管理要求，昆明市所有的餐厨废弃物由指定的昆明清缘润通环保科技有限公司进行收运处置，因该公司运力和处置能力有限，造成各区餐厨废弃物积压的问题。呈贡区城管局积极应对，委托重庆赛通环卫有限公司对呈贡区餐厨废弃物进行应急收运，以解决清缘润通公司运力不足及呈贡区餐厨垃圾积压问题。</w:t>
      </w:r>
      <w:r>
        <w:rPr>
          <w:rFonts w:hint="eastAsia" w:ascii="仿宋_GB2312" w:hAnsi="Times New Roman" w:cs="Times New Roman"/>
          <w:color w:val="000000"/>
          <w:kern w:val="0"/>
          <w:sz w:val="32"/>
          <w:szCs w:val="32"/>
          <w:u w:val="none" w:color="000000"/>
          <w:lang w:val="en-US" w:eastAsia="zh-CN"/>
        </w:rPr>
        <w:t>同时积极探索新模式，在呈贡区环卫停车场建设昆明市首个家庭厨余垃圾就地处理试点，处理厨余垃圾。</w:t>
      </w:r>
    </w:p>
    <w:p>
      <w:pPr>
        <w:numPr>
          <w:ilvl w:val="0"/>
          <w:numId w:val="1"/>
        </w:numPr>
        <w:topLinePunct/>
        <w:ind w:firstLine="594" w:firstLineChars="200"/>
        <w:rPr>
          <w:rFonts w:hint="eastAsia" w:ascii="仿宋_GB2312"/>
          <w:szCs w:val="32"/>
        </w:rPr>
      </w:pPr>
      <w:r>
        <w:rPr>
          <w:rFonts w:hint="eastAsia" w:ascii="仿宋_GB2312"/>
          <w:szCs w:val="32"/>
        </w:rPr>
        <w:t>绩效目标设定及指标完成情况。</w:t>
      </w:r>
    </w:p>
    <w:p>
      <w:pPr>
        <w:numPr>
          <w:ilvl w:val="0"/>
          <w:numId w:val="0"/>
        </w:numPr>
        <w:ind w:firstLine="594" w:firstLineChars="200"/>
        <w:rPr>
          <w:rFonts w:hint="default" w:ascii="仿宋_GB2312" w:eastAsia="仿宋_GB2312"/>
          <w:color w:val="0C0C0C"/>
          <w:szCs w:val="32"/>
          <w:lang w:val="en-US" w:eastAsia="zh-CN"/>
        </w:rPr>
      </w:pPr>
      <w:r>
        <w:rPr>
          <w:rFonts w:hint="eastAsia" w:ascii="仿宋_GB2312"/>
          <w:color w:val="0C0C0C"/>
          <w:szCs w:val="32"/>
          <w:lang w:val="en-US" w:eastAsia="zh-CN"/>
        </w:rPr>
        <w:t>1.</w:t>
      </w:r>
      <w:r>
        <w:rPr>
          <w:rFonts w:hint="eastAsia" w:ascii="仿宋_GB2312"/>
          <w:color w:val="0C0C0C"/>
          <w:szCs w:val="32"/>
        </w:rPr>
        <w:t>项目绩效总目标。</w:t>
      </w:r>
    </w:p>
    <w:p>
      <w:pPr>
        <w:topLinePunct/>
        <w:ind w:firstLine="594" w:firstLineChars="200"/>
        <w:rPr>
          <w:rFonts w:hint="default" w:ascii="仿宋_GB2312"/>
          <w:color w:val="0C0C0C"/>
          <w:szCs w:val="32"/>
          <w:lang w:val="en-US" w:eastAsia="zh-CN"/>
        </w:rPr>
      </w:pPr>
      <w:r>
        <w:rPr>
          <w:rFonts w:hint="eastAsia" w:ascii="仿宋_GB2312"/>
          <w:szCs w:val="32"/>
          <w:lang w:eastAsia="zh-CN"/>
        </w:rPr>
        <w:t>改变餐厨垃圾投放习惯，促进垃圾分类资源的再利用，响应</w:t>
      </w:r>
      <w:r>
        <w:rPr>
          <w:rFonts w:hint="eastAsia" w:ascii="仿宋_GB2312"/>
          <w:szCs w:val="32"/>
        </w:rPr>
        <w:t>垃圾分类</w:t>
      </w:r>
      <w:r>
        <w:rPr>
          <w:rFonts w:hint="eastAsia" w:ascii="仿宋_GB2312"/>
          <w:szCs w:val="32"/>
          <w:lang w:eastAsia="zh-CN"/>
        </w:rPr>
        <w:t>号召</w:t>
      </w:r>
      <w:r>
        <w:rPr>
          <w:rFonts w:hint="eastAsia" w:ascii="仿宋_GB2312"/>
          <w:szCs w:val="32"/>
        </w:rPr>
        <w:t>，减少餐厨垃圾环境污染</w:t>
      </w:r>
      <w:r>
        <w:rPr>
          <w:rFonts w:hint="eastAsia" w:ascii="仿宋_GB2312"/>
          <w:szCs w:val="32"/>
          <w:lang w:eastAsia="zh-CN"/>
        </w:rPr>
        <w:t>。</w:t>
      </w:r>
      <w:r>
        <w:rPr>
          <w:rFonts w:hint="eastAsia" w:ascii="仿宋_GB2312"/>
          <w:color w:val="0C0C0C"/>
          <w:szCs w:val="32"/>
          <w:lang w:val="en-US" w:eastAsia="zh-CN"/>
        </w:rPr>
        <w:t>该项目绩效目标的设立符合客观实际，与部门履职相一致，绩效指标清晰、细化、可衡量。</w:t>
      </w:r>
    </w:p>
    <w:p>
      <w:pPr>
        <w:numPr>
          <w:ilvl w:val="0"/>
          <w:numId w:val="0"/>
        </w:numPr>
        <w:ind w:leftChars="0" w:firstLine="594" w:firstLineChars="200"/>
        <w:rPr>
          <w:rFonts w:hint="eastAsia" w:ascii="仿宋_GB2312"/>
          <w:color w:val="0C0C0C"/>
          <w:szCs w:val="32"/>
        </w:rPr>
      </w:pPr>
      <w:r>
        <w:rPr>
          <w:rFonts w:hint="eastAsia" w:ascii="仿宋_GB2312"/>
          <w:color w:val="0C0C0C"/>
          <w:szCs w:val="32"/>
          <w:lang w:val="en-US" w:eastAsia="zh-CN"/>
        </w:rPr>
        <w:t>2.</w:t>
      </w:r>
      <w:r>
        <w:rPr>
          <w:rFonts w:hint="eastAsia" w:ascii="仿宋_GB2312"/>
          <w:color w:val="0C0C0C"/>
          <w:szCs w:val="32"/>
        </w:rPr>
        <w:t>项目绩效阶段性目标。</w:t>
      </w:r>
    </w:p>
    <w:p>
      <w:pPr>
        <w:numPr>
          <w:ilvl w:val="0"/>
          <w:numId w:val="0"/>
        </w:numPr>
        <w:ind w:leftChars="0"/>
        <w:rPr>
          <w:rFonts w:hint="eastAsia" w:ascii="仿宋_GB2312"/>
          <w:color w:val="0C0C0C"/>
          <w:szCs w:val="32"/>
          <w:lang w:val="en-US" w:eastAsia="zh-CN"/>
        </w:rPr>
      </w:pPr>
      <w:r>
        <w:rPr>
          <w:rFonts w:hint="eastAsia" w:ascii="仿宋_GB2312"/>
          <w:color w:val="0C0C0C"/>
          <w:szCs w:val="32"/>
          <w:lang w:val="en-US" w:eastAsia="zh-CN"/>
        </w:rPr>
        <w:t xml:space="preserve">   资金分配过程科学规范，资金投入方式合理，资金及时到位，预算执行进度按预期进行，资金使用经济高效。</w:t>
      </w:r>
    </w:p>
    <w:p>
      <w:pPr>
        <w:topLinePunct/>
        <w:ind w:firstLine="594" w:firstLineChars="200"/>
        <w:rPr>
          <w:rFonts w:hint="eastAsia" w:ascii="黑体" w:eastAsia="黑体"/>
          <w:szCs w:val="32"/>
        </w:rPr>
      </w:pPr>
      <w:bookmarkStart w:id="0" w:name="_GoBack"/>
      <w:bookmarkEnd w:id="0"/>
      <w:r>
        <w:rPr>
          <w:rFonts w:hint="eastAsia" w:ascii="黑体" w:eastAsia="黑体"/>
          <w:szCs w:val="32"/>
        </w:rPr>
        <w:t>二、</w:t>
      </w:r>
      <w:r>
        <w:rPr>
          <w:rFonts w:hint="eastAsia" w:ascii="黑体" w:eastAsia="黑体"/>
          <w:szCs w:val="32"/>
          <w:lang w:eastAsia="zh-CN"/>
        </w:rPr>
        <w:t>项目资金使用及管理情况</w:t>
      </w:r>
    </w:p>
    <w:p>
      <w:pPr>
        <w:topLinePunct/>
        <w:ind w:firstLine="594" w:firstLineChars="200"/>
        <w:rPr>
          <w:rFonts w:hint="eastAsia" w:ascii="仿宋_GB2312" w:hAnsi="Times New Roman" w:eastAsia="仿宋_GB2312" w:cs="Times New Roman"/>
          <w:color w:val="000000"/>
          <w:kern w:val="0"/>
          <w:sz w:val="32"/>
          <w:szCs w:val="32"/>
          <w:u w:val="none" w:color="000000"/>
          <w:lang w:val="en-US" w:eastAsia="zh-CN"/>
        </w:rPr>
      </w:pPr>
      <w:r>
        <w:rPr>
          <w:rFonts w:hint="eastAsia" w:ascii="仿宋_GB2312" w:hAnsi="Times New Roman" w:eastAsia="仿宋_GB2312" w:cs="Times New Roman"/>
          <w:color w:val="000000"/>
          <w:kern w:val="0"/>
          <w:sz w:val="32"/>
          <w:szCs w:val="32"/>
          <w:u w:val="none" w:color="000000"/>
        </w:rPr>
        <w:t>20</w:t>
      </w:r>
      <w:r>
        <w:rPr>
          <w:rFonts w:hint="eastAsia" w:ascii="仿宋_GB2312" w:hAnsi="Times New Roman" w:cs="Times New Roman"/>
          <w:color w:val="000000"/>
          <w:kern w:val="0"/>
          <w:sz w:val="32"/>
          <w:szCs w:val="32"/>
          <w:u w:val="none" w:color="000000"/>
          <w:lang w:val="en-US" w:eastAsia="zh-CN"/>
        </w:rPr>
        <w:t>20</w:t>
      </w:r>
      <w:r>
        <w:rPr>
          <w:rFonts w:hint="eastAsia" w:ascii="仿宋_GB2312" w:hAnsi="Times New Roman" w:eastAsia="仿宋_GB2312" w:cs="Times New Roman"/>
          <w:color w:val="000000"/>
          <w:kern w:val="0"/>
          <w:sz w:val="32"/>
          <w:szCs w:val="32"/>
          <w:u w:val="none" w:color="000000"/>
        </w:rPr>
        <w:t>年</w:t>
      </w:r>
      <w:r>
        <w:rPr>
          <w:rFonts w:hint="eastAsia" w:ascii="仿宋_GB2312" w:hAnsi="Times New Roman" w:eastAsia="仿宋_GB2312" w:cs="Times New Roman"/>
          <w:color w:val="000000"/>
          <w:kern w:val="0"/>
          <w:sz w:val="32"/>
          <w:szCs w:val="32"/>
          <w:u w:val="none" w:color="000000"/>
          <w:lang w:eastAsia="zh-CN"/>
        </w:rPr>
        <w:t>餐厨废弃物收运处置</w:t>
      </w:r>
      <w:r>
        <w:rPr>
          <w:rFonts w:hint="eastAsia" w:ascii="仿宋_GB2312" w:hAnsi="Times New Roman" w:cs="Times New Roman"/>
          <w:color w:val="000000"/>
          <w:kern w:val="0"/>
          <w:sz w:val="32"/>
          <w:szCs w:val="32"/>
          <w:u w:val="none" w:color="000000"/>
          <w:lang w:val="en-US" w:eastAsia="zh-CN"/>
        </w:rPr>
        <w:t>工作费用</w:t>
      </w:r>
      <w:r>
        <w:rPr>
          <w:rFonts w:hint="eastAsia" w:ascii="仿宋_GB2312" w:hAnsi="Times New Roman" w:eastAsia="仿宋_GB2312" w:cs="Times New Roman"/>
          <w:color w:val="000000"/>
          <w:kern w:val="0"/>
          <w:sz w:val="32"/>
          <w:szCs w:val="32"/>
          <w:u w:val="none" w:color="000000"/>
          <w:lang w:eastAsia="zh-CN"/>
        </w:rPr>
        <w:t>项目</w:t>
      </w:r>
      <w:r>
        <w:rPr>
          <w:rFonts w:hint="eastAsia" w:ascii="仿宋_GB2312" w:hAnsi="Times New Roman" w:eastAsia="仿宋_GB2312" w:cs="Times New Roman"/>
          <w:color w:val="000000"/>
          <w:kern w:val="0"/>
          <w:sz w:val="32"/>
          <w:szCs w:val="32"/>
          <w:u w:val="none" w:color="000000"/>
        </w:rPr>
        <w:t>财政拨款</w:t>
      </w:r>
      <w:r>
        <w:rPr>
          <w:rFonts w:hint="eastAsia" w:ascii="仿宋_GB2312" w:hAnsi="Times New Roman" w:cs="Times New Roman"/>
          <w:color w:val="000000"/>
          <w:kern w:val="0"/>
          <w:sz w:val="32"/>
          <w:szCs w:val="32"/>
          <w:u w:val="none" w:color="000000"/>
          <w:lang w:val="en-US" w:eastAsia="zh-CN"/>
        </w:rPr>
        <w:t>706216.30元，其中（市级财政拨款406216.30元，区级财政拨款300000.00元）</w:t>
      </w:r>
      <w:r>
        <w:rPr>
          <w:rFonts w:hint="eastAsia" w:ascii="仿宋_GB2312" w:hAnsi="Times New Roman" w:eastAsia="仿宋_GB2312" w:cs="Times New Roman"/>
          <w:color w:val="000000"/>
          <w:kern w:val="0"/>
          <w:sz w:val="32"/>
          <w:szCs w:val="32"/>
          <w:u w:val="none" w:color="000000"/>
          <w:lang w:val="en-US" w:eastAsia="zh-CN"/>
        </w:rPr>
        <w:t>，</w:t>
      </w:r>
      <w:r>
        <w:rPr>
          <w:rFonts w:hint="eastAsia" w:ascii="仿宋_GB2312" w:hAnsi="Times New Roman" w:eastAsia="仿宋_GB2312" w:cs="Times New Roman"/>
          <w:color w:val="000000"/>
          <w:kern w:val="0"/>
          <w:sz w:val="32"/>
          <w:szCs w:val="32"/>
          <w:u w:val="none" w:color="000000"/>
        </w:rPr>
        <w:t>资金到位率100%</w:t>
      </w:r>
      <w:r>
        <w:rPr>
          <w:rFonts w:hint="eastAsia" w:ascii="仿宋_GB2312" w:hAnsi="Times New Roman" w:eastAsia="仿宋_GB2312" w:cs="Times New Roman"/>
          <w:color w:val="000000"/>
          <w:kern w:val="0"/>
          <w:sz w:val="32"/>
          <w:szCs w:val="32"/>
          <w:u w:val="none" w:color="000000"/>
          <w:lang w:eastAsia="zh-CN"/>
        </w:rPr>
        <w:t>。</w:t>
      </w:r>
      <w:r>
        <w:rPr>
          <w:rFonts w:hint="eastAsia" w:ascii="仿宋_GB2312" w:hAnsi="Times New Roman" w:eastAsia="仿宋_GB2312" w:cs="Times New Roman"/>
          <w:color w:val="000000"/>
          <w:kern w:val="0"/>
          <w:sz w:val="32"/>
          <w:szCs w:val="32"/>
          <w:u w:val="none" w:color="000000"/>
          <w:lang w:val="en-US" w:eastAsia="zh-CN"/>
        </w:rPr>
        <w:t>20</w:t>
      </w:r>
      <w:r>
        <w:rPr>
          <w:rFonts w:hint="eastAsia" w:ascii="仿宋_GB2312" w:hAnsi="Times New Roman" w:cs="Times New Roman"/>
          <w:color w:val="000000"/>
          <w:kern w:val="0"/>
          <w:sz w:val="32"/>
          <w:szCs w:val="32"/>
          <w:u w:val="none" w:color="000000"/>
          <w:lang w:val="en-US" w:eastAsia="zh-CN"/>
        </w:rPr>
        <w:t>20</w:t>
      </w:r>
      <w:r>
        <w:rPr>
          <w:rFonts w:hint="eastAsia" w:ascii="仿宋_GB2312" w:hAnsi="Times New Roman" w:eastAsia="仿宋_GB2312" w:cs="Times New Roman"/>
          <w:color w:val="000000"/>
          <w:kern w:val="0"/>
          <w:sz w:val="32"/>
          <w:szCs w:val="32"/>
          <w:u w:val="none" w:color="000000"/>
          <w:lang w:val="en-US" w:eastAsia="zh-CN"/>
        </w:rPr>
        <w:t>年</w:t>
      </w:r>
      <w:r>
        <w:rPr>
          <w:rFonts w:hint="eastAsia" w:ascii="仿宋_GB2312" w:hAnsi="Times New Roman" w:eastAsia="仿宋_GB2312" w:cs="Times New Roman"/>
          <w:color w:val="000000"/>
          <w:kern w:val="0"/>
          <w:sz w:val="32"/>
          <w:szCs w:val="32"/>
          <w:u w:val="none" w:color="000000"/>
          <w:lang w:eastAsia="zh-CN"/>
        </w:rPr>
        <w:t>餐厨废弃物收运处置</w:t>
      </w:r>
      <w:r>
        <w:rPr>
          <w:rFonts w:hint="eastAsia" w:ascii="仿宋_GB2312" w:hAnsi="Times New Roman" w:cs="Times New Roman"/>
          <w:color w:val="000000"/>
          <w:kern w:val="0"/>
          <w:sz w:val="32"/>
          <w:szCs w:val="32"/>
          <w:u w:val="none" w:color="000000"/>
          <w:lang w:val="en-US" w:eastAsia="zh-CN"/>
        </w:rPr>
        <w:t>工作</w:t>
      </w:r>
      <w:r>
        <w:rPr>
          <w:rFonts w:hint="eastAsia" w:ascii="仿宋_GB2312" w:hAnsi="Times New Roman" w:eastAsia="仿宋_GB2312" w:cs="Times New Roman"/>
          <w:color w:val="000000"/>
          <w:kern w:val="0"/>
          <w:sz w:val="32"/>
          <w:szCs w:val="32"/>
          <w:u w:val="none" w:color="000000"/>
        </w:rPr>
        <w:t>共计支出</w:t>
      </w:r>
      <w:r>
        <w:rPr>
          <w:rFonts w:hint="eastAsia" w:ascii="仿宋_GB2312" w:hAnsi="Times New Roman" w:cs="Times New Roman"/>
          <w:color w:val="000000"/>
          <w:kern w:val="0"/>
          <w:sz w:val="32"/>
          <w:szCs w:val="32"/>
          <w:u w:val="none" w:color="000000"/>
          <w:lang w:val="en-US" w:eastAsia="zh-CN"/>
        </w:rPr>
        <w:t>275821.97元</w:t>
      </w:r>
      <w:r>
        <w:rPr>
          <w:rFonts w:hint="eastAsia" w:ascii="仿宋_GB2312" w:hAnsi="Times New Roman" w:eastAsia="仿宋_GB2312" w:cs="Times New Roman"/>
          <w:color w:val="000000"/>
          <w:kern w:val="0"/>
          <w:sz w:val="32"/>
          <w:szCs w:val="32"/>
          <w:u w:val="none" w:color="000000"/>
          <w:lang w:val="en-US" w:eastAsia="zh-CN"/>
        </w:rPr>
        <w:t>元，</w:t>
      </w:r>
      <w:r>
        <w:rPr>
          <w:rFonts w:hint="eastAsia" w:ascii="仿宋_GB2312" w:hAnsi="Times New Roman" w:cs="Times New Roman"/>
          <w:color w:val="000000"/>
          <w:kern w:val="0"/>
          <w:sz w:val="32"/>
          <w:szCs w:val="32"/>
          <w:u w:val="none" w:color="000000"/>
          <w:lang w:val="en-US" w:eastAsia="zh-CN"/>
        </w:rPr>
        <w:t>（年初计划40万用于购置厨余垃圾就地处理设备，因市城管局年中期引进厨余垃圾处理设备投入呈贡区进行试点，故没有再重复购置）</w:t>
      </w:r>
      <w:r>
        <w:rPr>
          <w:rFonts w:hint="eastAsia" w:ascii="仿宋_GB2312" w:hAnsi="Times New Roman" w:eastAsia="仿宋_GB2312" w:cs="Times New Roman"/>
          <w:color w:val="000000"/>
          <w:kern w:val="0"/>
          <w:sz w:val="32"/>
          <w:szCs w:val="32"/>
          <w:u w:val="none" w:color="000000"/>
        </w:rPr>
        <w:t>财政资金使用率</w:t>
      </w:r>
      <w:r>
        <w:rPr>
          <w:rFonts w:hint="eastAsia" w:ascii="仿宋_GB2312" w:hAnsi="Times New Roman" w:eastAsia="仿宋_GB2312" w:cs="Times New Roman"/>
          <w:color w:val="000000"/>
          <w:kern w:val="0"/>
          <w:sz w:val="32"/>
          <w:szCs w:val="32"/>
          <w:u w:val="none" w:color="000000"/>
          <w:lang w:eastAsia="zh-CN"/>
        </w:rPr>
        <w:t>为</w:t>
      </w:r>
      <w:r>
        <w:rPr>
          <w:rFonts w:hint="eastAsia" w:ascii="仿宋_GB2312" w:hAnsi="Times New Roman" w:cs="Times New Roman"/>
          <w:color w:val="000000"/>
          <w:kern w:val="0"/>
          <w:sz w:val="32"/>
          <w:szCs w:val="32"/>
          <w:u w:val="none" w:color="000000"/>
          <w:lang w:val="en-US" w:eastAsia="zh-CN"/>
        </w:rPr>
        <w:t>39.056</w:t>
      </w:r>
      <w:r>
        <w:rPr>
          <w:rFonts w:hint="eastAsia" w:ascii="仿宋_GB2312" w:hAnsi="Times New Roman" w:eastAsia="仿宋_GB2312" w:cs="Times New Roman"/>
          <w:color w:val="000000"/>
          <w:kern w:val="0"/>
          <w:sz w:val="32"/>
          <w:szCs w:val="32"/>
          <w:u w:val="none" w:color="000000"/>
        </w:rPr>
        <w:t>%</w:t>
      </w:r>
      <w:r>
        <w:rPr>
          <w:rFonts w:hint="eastAsia" w:ascii="仿宋_GB2312" w:hAnsi="Times New Roman" w:eastAsia="仿宋_GB2312" w:cs="Times New Roman"/>
          <w:color w:val="000000"/>
          <w:kern w:val="0"/>
          <w:sz w:val="32"/>
          <w:szCs w:val="32"/>
          <w:u w:val="none" w:color="000000"/>
          <w:lang w:val="en-US" w:eastAsia="zh-CN"/>
        </w:rPr>
        <w:t>。</w:t>
      </w:r>
    </w:p>
    <w:p>
      <w:pPr>
        <w:widowControl/>
        <w:shd w:val="clear" w:color="auto" w:fill="FFFFFF"/>
        <w:adjustRightInd w:val="0"/>
        <w:snapToGrid w:val="0"/>
        <w:spacing w:line="300" w:lineRule="auto"/>
        <w:ind w:firstLine="640"/>
        <w:jc w:val="left"/>
        <w:rPr>
          <w:rFonts w:hint="eastAsia" w:ascii="仿宋_GB2312" w:hAnsi="Times New Roman" w:eastAsia="仿宋_GB2312" w:cs="Times New Roman"/>
          <w:color w:val="000000"/>
          <w:kern w:val="0"/>
          <w:sz w:val="32"/>
          <w:szCs w:val="32"/>
          <w:u w:val="none" w:color="000000"/>
          <w:lang w:val="en-US" w:eastAsia="zh-CN"/>
        </w:rPr>
      </w:pPr>
      <w:r>
        <w:rPr>
          <w:rFonts w:hint="eastAsia" w:ascii="仿宋_GB2312" w:hAnsi="仿宋_GB2312" w:eastAsia="仿宋_GB2312" w:cs="宋体"/>
          <w:kern w:val="0"/>
          <w:sz w:val="32"/>
          <w:szCs w:val="32"/>
        </w:rPr>
        <w:t>项目资金由区财政预算专项拨付，专款专用，在资金使用过程中，我局</w:t>
      </w:r>
      <w:r>
        <w:rPr>
          <w:rFonts w:hint="eastAsia" w:ascii="仿宋_GB2312" w:hAnsi="仿宋_GB2312" w:eastAsia="仿宋_GB2312"/>
          <w:sz w:val="32"/>
          <w:szCs w:val="32"/>
        </w:rPr>
        <w:t>进一步加强财政资金支出项目的绩效监管，增强绩效考核管理兑现的严肃性、操作性和准确性，形成有效的激励与约束机制。</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widowControl w:val="0"/>
        <w:adjustRightInd w:val="0"/>
        <w:snapToGrid w:val="0"/>
        <w:spacing w:line="580" w:lineRule="exact"/>
        <w:ind w:firstLine="594" w:firstLineChars="200"/>
        <w:textAlignment w:val="baseline"/>
        <w:rPr>
          <w:rFonts w:hint="eastAsia" w:ascii="仿宋_GB2312" w:hAnsi="Times New Roman" w:eastAsia="仿宋_GB2312" w:cs="Times New Roman"/>
          <w:color w:val="000000"/>
          <w:kern w:val="0"/>
          <w:sz w:val="32"/>
          <w:szCs w:val="32"/>
          <w:u w:val="none" w:color="000000"/>
          <w:lang w:val="en-US" w:eastAsia="zh-CN"/>
        </w:rPr>
      </w:pPr>
      <w:r>
        <w:rPr>
          <w:rFonts w:hint="eastAsia" w:ascii="仿宋_GB2312" w:hAnsi="Times New Roman" w:eastAsia="仿宋_GB2312" w:cs="Times New Roman"/>
          <w:color w:val="000000"/>
          <w:kern w:val="0"/>
          <w:sz w:val="32"/>
          <w:szCs w:val="32"/>
          <w:u w:val="none" w:color="000000"/>
          <w:lang w:val="en-US" w:eastAsia="zh-CN"/>
        </w:rPr>
        <w:t>呈贡区城管局</w:t>
      </w:r>
      <w:r>
        <w:rPr>
          <w:rFonts w:hint="eastAsia" w:ascii="仿宋_GB2312" w:hAnsi="Times New Roman" w:cs="Times New Roman"/>
          <w:color w:val="000000"/>
          <w:kern w:val="0"/>
          <w:sz w:val="32"/>
          <w:szCs w:val="32"/>
          <w:u w:val="none" w:color="000000"/>
          <w:lang w:val="en-US" w:eastAsia="zh-CN"/>
        </w:rPr>
        <w:t>为</w:t>
      </w:r>
      <w:r>
        <w:rPr>
          <w:rFonts w:hint="eastAsia" w:ascii="仿宋_GB2312" w:hAnsi="Times New Roman" w:eastAsia="仿宋_GB2312" w:cs="Times New Roman"/>
          <w:color w:val="000000"/>
          <w:kern w:val="0"/>
          <w:sz w:val="32"/>
          <w:szCs w:val="32"/>
          <w:u w:val="none" w:color="000000"/>
          <w:lang w:val="en-US" w:eastAsia="zh-CN"/>
        </w:rPr>
        <w:t>积极应对餐厨废弃物积压，委托重庆赛通环卫有限公司对呈贡区餐厨废弃物进行应急收运，以解决清缘润通公司运力不足及呈贡区餐厨垃圾积压问题</w:t>
      </w:r>
      <w:r>
        <w:rPr>
          <w:rFonts w:hint="eastAsia" w:ascii="仿宋_GB2312" w:hAnsi="Times New Roman" w:cs="Times New Roman"/>
          <w:color w:val="000000"/>
          <w:kern w:val="0"/>
          <w:sz w:val="32"/>
          <w:szCs w:val="32"/>
          <w:u w:val="none" w:color="000000"/>
          <w:lang w:val="en-US" w:eastAsia="zh-CN"/>
        </w:rPr>
        <w:t>，</w:t>
      </w:r>
      <w:r>
        <w:rPr>
          <w:rFonts w:hint="eastAsia" w:ascii="仿宋_GB2312" w:hAnsi="Times New Roman" w:eastAsia="仿宋_GB2312" w:cs="Times New Roman"/>
          <w:color w:val="000000"/>
          <w:kern w:val="0"/>
          <w:sz w:val="32"/>
          <w:szCs w:val="32"/>
          <w:u w:val="none" w:color="000000"/>
          <w:lang w:val="en-US" w:eastAsia="zh-CN"/>
        </w:rPr>
        <w:t>该项目资金根据清运吨数及购置餐厨废弃物收运桶需求支付</w:t>
      </w:r>
      <w:r>
        <w:rPr>
          <w:rFonts w:hint="eastAsia" w:ascii="仿宋_GB2312" w:hAnsi="Times New Roman" w:cs="Times New Roman"/>
          <w:color w:val="000000"/>
          <w:kern w:val="0"/>
          <w:sz w:val="32"/>
          <w:szCs w:val="32"/>
          <w:u w:val="none" w:color="000000"/>
          <w:lang w:val="en-US" w:eastAsia="zh-CN"/>
        </w:rPr>
        <w:t>；并积极探索新的厨余垃圾就地处理模式，在呈贡区建设全市首个家庭厨余垃圾处置点，以处理呈贡区产生的厨余垃圾，缓解积压压力</w:t>
      </w:r>
      <w:r>
        <w:rPr>
          <w:rFonts w:hint="eastAsia" w:ascii="仿宋_GB2312" w:hAnsi="Times New Roman" w:eastAsia="仿宋_GB2312" w:cs="Times New Roman"/>
          <w:color w:val="000000"/>
          <w:kern w:val="0"/>
          <w:sz w:val="32"/>
          <w:szCs w:val="32"/>
          <w:u w:val="none" w:color="000000"/>
          <w:lang w:val="en-US" w:eastAsia="zh-CN"/>
        </w:rPr>
        <w:t>。</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hAnsi="Times New Roman" w:eastAsia="仿宋_GB2312" w:cs="Times New Roman"/>
          <w:color w:val="000000"/>
          <w:kern w:val="0"/>
          <w:sz w:val="32"/>
          <w:szCs w:val="32"/>
          <w:u w:val="none" w:color="000000"/>
          <w:lang w:val="en-US" w:eastAsia="zh-CN"/>
        </w:rPr>
        <w:t>餐厨废弃物收运工作为持续性工作</w:t>
      </w:r>
      <w:r>
        <w:rPr>
          <w:rFonts w:hint="eastAsia" w:ascii="仿宋_GB2312" w:hAnsi="Times New Roman" w:cs="Times New Roman"/>
          <w:color w:val="000000"/>
          <w:kern w:val="0"/>
          <w:sz w:val="32"/>
          <w:szCs w:val="32"/>
          <w:u w:val="none" w:color="000000"/>
          <w:lang w:val="en-US" w:eastAsia="zh-CN"/>
        </w:rPr>
        <w:t>，该项工作的开展有效减少餐厨垃圾带来的环境污染，对创建文明城市提供有力的支持。该项目本着厉行节约、注重资金使用效益的原则，根据清运吨数及单价进行拨付，</w:t>
      </w:r>
      <w:r>
        <w:rPr>
          <w:rFonts w:hint="eastAsia" w:ascii="仿宋_GB2312" w:hAnsi="Times New Roman" w:eastAsia="仿宋_GB2312" w:cs="Times New Roman"/>
          <w:color w:val="000000"/>
          <w:kern w:val="0"/>
          <w:sz w:val="32"/>
          <w:szCs w:val="32"/>
          <w:u w:val="none" w:color="000000"/>
          <w:lang w:val="en-US" w:eastAsia="zh-CN"/>
        </w:rPr>
        <w:t>餐厨废弃物</w:t>
      </w:r>
      <w:r>
        <w:rPr>
          <w:rFonts w:hint="eastAsia" w:ascii="仿宋_GB2312" w:hAnsi="Times New Roman" w:cs="Times New Roman"/>
          <w:color w:val="000000"/>
          <w:kern w:val="0"/>
          <w:sz w:val="32"/>
          <w:szCs w:val="32"/>
          <w:u w:val="none" w:color="000000"/>
          <w:lang w:val="en-US" w:eastAsia="zh-CN"/>
        </w:rPr>
        <w:t>的集中清运节约了处理成本；并建设家庭处于垃圾就地处理试点，缓解了厨余垃圾末端处理能力不足问题，使呈贡区居住环境得到改善。</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Cs w:val="32"/>
          <w:lang w:val="en-US" w:eastAsia="zh-CN"/>
        </w:rPr>
      </w:pPr>
      <w:r>
        <w:rPr>
          <w:rFonts w:hint="eastAsia" w:ascii="仿宋_GB2312"/>
          <w:szCs w:val="32"/>
        </w:rPr>
        <w:t>（一）专项管理方面的问题。</w:t>
      </w:r>
      <w:r>
        <w:rPr>
          <w:rFonts w:hint="eastAsia" w:ascii="仿宋_GB2312"/>
          <w:szCs w:val="32"/>
          <w:lang w:val="en-US" w:eastAsia="zh-CN"/>
        </w:rPr>
        <w:t>无</w:t>
      </w:r>
    </w:p>
    <w:p>
      <w:pPr>
        <w:topLinePunct/>
        <w:ind w:firstLine="594" w:firstLineChars="200"/>
        <w:rPr>
          <w:rFonts w:hint="eastAsia" w:ascii="仿宋_GB2312"/>
          <w:szCs w:val="32"/>
          <w:lang w:val="en-US" w:eastAsia="zh-CN"/>
        </w:rPr>
      </w:pPr>
      <w:r>
        <w:rPr>
          <w:rFonts w:hint="eastAsia" w:ascii="仿宋_GB2312"/>
          <w:szCs w:val="32"/>
        </w:rPr>
        <w:t>（二）资金分配方面的问题。</w:t>
      </w:r>
      <w:r>
        <w:rPr>
          <w:rFonts w:hint="eastAsia" w:ascii="仿宋_GB2312"/>
          <w:szCs w:val="32"/>
          <w:lang w:val="en-US" w:eastAsia="zh-CN"/>
        </w:rPr>
        <w:t>无</w:t>
      </w:r>
    </w:p>
    <w:p>
      <w:pPr>
        <w:topLinePunct/>
        <w:ind w:firstLine="594" w:firstLineChars="200"/>
        <w:rPr>
          <w:rFonts w:hint="eastAsia" w:ascii="仿宋_GB2312"/>
          <w:szCs w:val="32"/>
          <w:lang w:val="en-US" w:eastAsia="zh-CN"/>
        </w:rPr>
      </w:pPr>
      <w:r>
        <w:rPr>
          <w:rFonts w:hint="eastAsia" w:ascii="仿宋_GB2312"/>
          <w:szCs w:val="32"/>
        </w:rPr>
        <w:t>（三）资金拨付方面的问题。</w:t>
      </w:r>
      <w:r>
        <w:rPr>
          <w:rFonts w:hint="eastAsia" w:ascii="仿宋_GB2312"/>
          <w:szCs w:val="32"/>
          <w:lang w:val="en-US" w:eastAsia="zh-CN"/>
        </w:rPr>
        <w:t>无</w:t>
      </w:r>
    </w:p>
    <w:p>
      <w:pPr>
        <w:topLinePunct/>
        <w:ind w:firstLine="594" w:firstLineChars="200"/>
        <w:rPr>
          <w:rFonts w:hint="eastAsia" w:ascii="仿宋_GB2312"/>
          <w:szCs w:val="32"/>
        </w:rPr>
      </w:pPr>
      <w:r>
        <w:rPr>
          <w:rFonts w:hint="eastAsia" w:ascii="仿宋_GB2312"/>
          <w:szCs w:val="32"/>
        </w:rPr>
        <w:t>（四）资金使用方面的问题。</w:t>
      </w:r>
    </w:p>
    <w:p>
      <w:pPr>
        <w:topLinePunct/>
        <w:ind w:firstLine="594" w:firstLineChars="200"/>
        <w:rPr>
          <w:rFonts w:hint="default" w:ascii="仿宋_GB2312" w:hAnsi="Times New Roman" w:eastAsia="仿宋_GB2312" w:cs="Times New Roman"/>
          <w:color w:val="000000"/>
          <w:kern w:val="0"/>
          <w:sz w:val="32"/>
          <w:szCs w:val="32"/>
          <w:u w:val="none" w:color="000000"/>
          <w:lang w:val="en-US" w:eastAsia="zh-CN"/>
        </w:rPr>
      </w:pPr>
      <w:r>
        <w:rPr>
          <w:rFonts w:hint="eastAsia" w:ascii="仿宋_GB2312"/>
          <w:szCs w:val="32"/>
          <w:lang w:val="en-US" w:eastAsia="zh-CN"/>
        </w:rPr>
        <w:t>1、</w:t>
      </w:r>
      <w:r>
        <w:rPr>
          <w:rFonts w:hint="eastAsia" w:ascii="仿宋_GB2312" w:hAnsi="Times New Roman" w:eastAsia="仿宋_GB2312" w:cs="Times New Roman"/>
          <w:color w:val="000000"/>
          <w:kern w:val="0"/>
          <w:sz w:val="32"/>
          <w:szCs w:val="32"/>
          <w:u w:val="none" w:color="000000"/>
          <w:lang w:val="en-US" w:eastAsia="zh-CN"/>
        </w:rPr>
        <w:t>为解决由市城管局指定的昆明清缘润通环保科技有限公司运力和处置能力有限、卸货困难的问题，呈贡区城管局委托重庆赛通环卫有限公司对呈贡区餐厨废弃物进行应急收运，根据</w:t>
      </w:r>
      <w:r>
        <w:rPr>
          <w:rFonts w:hint="eastAsia" w:ascii="仿宋_GB2312" w:hAnsi="Times New Roman" w:cs="Times New Roman"/>
          <w:color w:val="000000"/>
          <w:kern w:val="0"/>
          <w:sz w:val="32"/>
          <w:szCs w:val="32"/>
          <w:u w:val="none" w:color="000000"/>
          <w:lang w:val="en-US" w:eastAsia="zh-CN"/>
        </w:rPr>
        <w:t>重庆赛通环卫有限公司呈贡分公司</w:t>
      </w:r>
      <w:r>
        <w:rPr>
          <w:rFonts w:hint="eastAsia" w:ascii="仿宋_GB2312" w:hAnsi="Times New Roman" w:eastAsia="仿宋_GB2312" w:cs="Times New Roman"/>
          <w:color w:val="000000"/>
          <w:kern w:val="0"/>
          <w:sz w:val="32"/>
          <w:szCs w:val="32"/>
          <w:u w:val="none" w:color="000000"/>
          <w:lang w:val="en-US" w:eastAsia="zh-CN"/>
        </w:rPr>
        <w:t>实际清运情况拨付该笔费用，故存在结余。</w:t>
      </w:r>
      <w:r>
        <w:rPr>
          <w:rFonts w:hint="eastAsia" w:ascii="仿宋_GB2312" w:hAnsi="Times New Roman" w:cs="Times New Roman"/>
          <w:color w:val="000000"/>
          <w:kern w:val="0"/>
          <w:sz w:val="32"/>
          <w:szCs w:val="32"/>
          <w:u w:val="none" w:color="000000"/>
          <w:lang w:val="en-US" w:eastAsia="zh-CN"/>
        </w:rPr>
        <w:t>2、年初计划40万用于购置厨余垃圾就地处理设备，因市城管局年中期引进厨余垃圾处理设备投入呈贡区进行试点，为避免重复购置投资，故存在资金结余。</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仿宋_GB2312"/>
          <w:szCs w:val="32"/>
        </w:rPr>
      </w:pPr>
      <w:r>
        <w:rPr>
          <w:rFonts w:hint="eastAsia" w:ascii="仿宋_GB2312"/>
          <w:szCs w:val="32"/>
        </w:rPr>
        <w:t>（一）后续工作计划。</w:t>
      </w:r>
    </w:p>
    <w:p>
      <w:pPr>
        <w:topLinePunct/>
        <w:ind w:firstLine="594" w:firstLineChars="200"/>
        <w:rPr>
          <w:rFonts w:hint="default" w:ascii="仿宋_GB2312" w:eastAsia="仿宋_GB2312"/>
          <w:szCs w:val="32"/>
          <w:lang w:val="en-US" w:eastAsia="zh-CN"/>
        </w:rPr>
      </w:pPr>
      <w:r>
        <w:rPr>
          <w:rFonts w:hint="eastAsia" w:ascii="仿宋_GB2312"/>
          <w:szCs w:val="32"/>
          <w:lang w:val="en-US" w:eastAsia="zh-CN"/>
        </w:rPr>
        <w:t>加强资金使用管理，细化资金项目使用明细。</w:t>
      </w:r>
    </w:p>
    <w:p>
      <w:pPr>
        <w:numPr>
          <w:ilvl w:val="0"/>
          <w:numId w:val="2"/>
        </w:numPr>
        <w:topLinePunct/>
        <w:ind w:firstLine="594" w:firstLineChars="200"/>
        <w:rPr>
          <w:rFonts w:hint="eastAsia" w:ascii="仿宋_GB2312"/>
          <w:szCs w:val="32"/>
        </w:rPr>
      </w:pPr>
      <w:r>
        <w:rPr>
          <w:rFonts w:hint="eastAsia" w:ascii="仿宋_GB2312"/>
          <w:szCs w:val="32"/>
        </w:rPr>
        <w:t>主要经验做法、改进措施和有关建议等。</w:t>
      </w:r>
    </w:p>
    <w:p>
      <w:pPr>
        <w:numPr>
          <w:numId w:val="0"/>
        </w:numPr>
        <w:topLinePunct/>
        <w:rPr>
          <w:rFonts w:hint="default" w:ascii="仿宋_GB2312" w:eastAsia="仿宋_GB2312"/>
          <w:szCs w:val="32"/>
          <w:lang w:val="en-US" w:eastAsia="zh-CN"/>
        </w:rPr>
      </w:pPr>
      <w:r>
        <w:rPr>
          <w:rFonts w:hint="eastAsia" w:ascii="仿宋_GB2312"/>
          <w:szCs w:val="32"/>
          <w:lang w:val="en-US" w:eastAsia="zh-CN"/>
        </w:rPr>
        <w:t xml:space="preserve">    无。</w:t>
      </w:r>
    </w:p>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239C7"/>
    <w:multiLevelType w:val="singleLevel"/>
    <w:tmpl w:val="848239C7"/>
    <w:lvl w:ilvl="0" w:tentative="0">
      <w:start w:val="2"/>
      <w:numFmt w:val="chineseCounting"/>
      <w:suff w:val="nothing"/>
      <w:lvlText w:val="（%1）"/>
      <w:lvlJc w:val="left"/>
      <w:rPr>
        <w:rFonts w:hint="eastAsia"/>
      </w:rPr>
    </w:lvl>
  </w:abstractNum>
  <w:abstractNum w:abstractNumId="1">
    <w:nsid w:val="725A20D5"/>
    <w:multiLevelType w:val="singleLevel"/>
    <w:tmpl w:val="725A20D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36CA"/>
    <w:rsid w:val="2EF809CB"/>
    <w:rsid w:val="378A5996"/>
    <w:rsid w:val="39771F15"/>
    <w:rsid w:val="5A3C6978"/>
    <w:rsid w:val="6760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胡布德。</cp:lastModifiedBy>
  <dcterms:modified xsi:type="dcterms:W3CDTF">2021-03-12T02:49:34Z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399099146_cloud</vt:lpwstr>
  </property>
</Properties>
</file>