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Cs w:val="32"/>
        </w:rPr>
      </w:pPr>
      <w:r>
        <w:rPr>
          <w:rFonts w:hint="eastAsia" w:ascii="黑体" w:eastAsia="黑体"/>
          <w:szCs w:val="32"/>
        </w:rPr>
        <w:t>附件4-2</w:t>
      </w:r>
      <w:r>
        <w:rPr>
          <w:rFonts w:ascii="黑体" w:eastAsia="黑体"/>
          <w:szCs w:val="32"/>
        </w:rPr>
        <w:t>:</w:t>
      </w:r>
    </w:p>
    <w:p>
      <w:pPr>
        <w:rPr>
          <w:rFonts w:ascii="黑体" w:eastAsia="黑体"/>
          <w:szCs w:val="32"/>
        </w:rPr>
      </w:pPr>
    </w:p>
    <w:p>
      <w:pPr>
        <w:spacing w:line="600" w:lineRule="exact"/>
        <w:jc w:val="center"/>
        <w:rPr>
          <w:rFonts w:ascii="方正小标宋_GBK" w:eastAsia="方正小标宋_GBK"/>
          <w:sz w:val="36"/>
          <w:szCs w:val="36"/>
        </w:rPr>
      </w:pPr>
      <w:r>
        <w:rPr>
          <w:rFonts w:hint="eastAsia" w:ascii="方正小标宋_GBK" w:eastAsia="方正小标宋_GBK"/>
          <w:sz w:val="36"/>
          <w:szCs w:val="36"/>
        </w:rPr>
        <w:t>滇池流域及补水区旧垃圾填埋场治理及生活垃圾综合处理项目支出绩效报告（自评）</w:t>
      </w:r>
    </w:p>
    <w:p>
      <w:pPr>
        <w:spacing w:line="600" w:lineRule="exact"/>
        <w:ind w:firstLine="594" w:firstLineChars="200"/>
        <w:rPr>
          <w:rFonts w:ascii="仿宋_GB2312"/>
          <w:b/>
          <w:szCs w:val="32"/>
        </w:rPr>
      </w:pPr>
    </w:p>
    <w:p>
      <w:pPr>
        <w:topLinePunct/>
        <w:ind w:firstLine="594" w:firstLineChars="200"/>
        <w:rPr>
          <w:rFonts w:ascii="黑体" w:eastAsia="黑体"/>
          <w:szCs w:val="32"/>
        </w:rPr>
      </w:pPr>
      <w:r>
        <w:rPr>
          <w:rFonts w:hint="eastAsia" w:ascii="黑体" w:eastAsia="黑体"/>
          <w:szCs w:val="32"/>
        </w:rPr>
        <w:t>一、项目基本情况</w:t>
      </w:r>
    </w:p>
    <w:p>
      <w:pPr>
        <w:topLinePunct/>
        <w:ind w:firstLine="594" w:firstLineChars="200"/>
        <w:rPr>
          <w:rFonts w:ascii="仿宋_GB2312"/>
          <w:szCs w:val="32"/>
        </w:rPr>
      </w:pPr>
      <w:r>
        <w:rPr>
          <w:rFonts w:hint="eastAsia" w:ascii="仿宋_GB2312"/>
          <w:szCs w:val="32"/>
        </w:rPr>
        <w:t>（一）呈贡区旧垃圾填埋场项目位于呈贡区吴家营街道段家营社区老荒山、占地面积460亩，2018年完成项目可研、水保、立项等工作，2019年6月取得环评报告批复。项目基本性质完成项目治理，主要内容实施生态修复工作、涉及项目治理范围约116.55亩。</w:t>
      </w:r>
    </w:p>
    <w:p>
      <w:pPr>
        <w:topLinePunct/>
        <w:ind w:firstLine="594" w:firstLineChars="200"/>
        <w:rPr>
          <w:rFonts w:ascii="仿宋_GB2312"/>
          <w:szCs w:val="32"/>
        </w:rPr>
      </w:pPr>
      <w:r>
        <w:rPr>
          <w:rFonts w:hint="eastAsia" w:ascii="仿宋_GB2312"/>
          <w:szCs w:val="32"/>
        </w:rPr>
        <w:t>（二）绩效目标设定及指标完成情况。</w:t>
      </w:r>
    </w:p>
    <w:p>
      <w:pPr>
        <w:topLinePunct/>
        <w:ind w:firstLine="594" w:firstLineChars="200"/>
        <w:rPr>
          <w:rFonts w:ascii="仿宋_GB2312"/>
          <w:szCs w:val="32"/>
        </w:rPr>
      </w:pPr>
      <w:r>
        <w:rPr>
          <w:rFonts w:hint="eastAsia" w:ascii="仿宋_GB2312"/>
          <w:szCs w:val="32"/>
        </w:rPr>
        <w:t>按计划完成项目治理工作，依据项目进度支付工程费用。</w:t>
      </w:r>
    </w:p>
    <w:p>
      <w:pPr>
        <w:topLinePunct/>
        <w:ind w:firstLine="594" w:firstLineChars="200"/>
        <w:rPr>
          <w:rFonts w:ascii="黑体" w:eastAsia="黑体"/>
          <w:szCs w:val="32"/>
        </w:rPr>
      </w:pPr>
      <w:r>
        <w:rPr>
          <w:rFonts w:hint="eastAsia" w:ascii="黑体" w:eastAsia="黑体"/>
          <w:szCs w:val="32"/>
        </w:rPr>
        <w:t>二、项目资金使用及管理情况</w:t>
      </w:r>
    </w:p>
    <w:p>
      <w:pPr>
        <w:keepNext w:val="0"/>
        <w:keepLines w:val="0"/>
        <w:pageBreakBefore w:val="0"/>
        <w:kinsoku/>
        <w:wordWrap/>
        <w:overflowPunct/>
        <w:topLinePunct/>
        <w:autoSpaceDE/>
        <w:autoSpaceDN/>
        <w:bidi w:val="0"/>
        <w:spacing w:before="0" w:beforeLines="0" w:after="0" w:afterLines="0" w:line="560" w:lineRule="exact"/>
        <w:ind w:left="0" w:leftChars="0" w:right="0" w:rightChars="0" w:firstLine="594" w:firstLineChars="200"/>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w:t>
      </w:r>
      <w:r>
        <w:rPr>
          <w:rFonts w:hint="eastAsia" w:ascii="仿宋_GB2312" w:hAnsi="仿宋"/>
          <w:sz w:val="32"/>
          <w:szCs w:val="32"/>
          <w:lang w:val="en-US" w:eastAsia="zh-CN"/>
        </w:rPr>
        <w:t>20</w:t>
      </w:r>
      <w:r>
        <w:rPr>
          <w:rFonts w:hint="eastAsia" w:ascii="仿宋_GB2312" w:hAnsi="仿宋" w:eastAsia="仿宋_GB2312"/>
          <w:sz w:val="32"/>
          <w:szCs w:val="32"/>
          <w:lang w:val="en-US" w:eastAsia="zh-CN"/>
        </w:rPr>
        <w:t>年池流域及补水区旧垃圾填埋场治理及生活垃圾综合处理项目</w:t>
      </w:r>
      <w:r>
        <w:rPr>
          <w:rFonts w:hint="eastAsia" w:ascii="仿宋_GB2312" w:hAnsi="仿宋"/>
          <w:sz w:val="32"/>
          <w:szCs w:val="32"/>
          <w:lang w:val="en-US" w:eastAsia="zh-CN"/>
        </w:rPr>
        <w:t>区级</w:t>
      </w:r>
      <w:r>
        <w:rPr>
          <w:rFonts w:hint="eastAsia" w:ascii="仿宋_GB2312" w:hAnsi="仿宋" w:eastAsia="仿宋_GB2312"/>
          <w:sz w:val="32"/>
          <w:szCs w:val="32"/>
          <w:lang w:val="en-US" w:eastAsia="zh-CN"/>
        </w:rPr>
        <w:t>财政</w:t>
      </w:r>
      <w:r>
        <w:rPr>
          <w:rFonts w:hint="eastAsia" w:ascii="仿宋_GB2312" w:hAnsi="仿宋"/>
          <w:sz w:val="32"/>
          <w:szCs w:val="32"/>
          <w:lang w:val="en-US" w:eastAsia="zh-CN"/>
        </w:rPr>
        <w:t>年初</w:t>
      </w:r>
      <w:r>
        <w:rPr>
          <w:rFonts w:hint="eastAsia" w:ascii="仿宋_GB2312" w:hAnsi="仿宋" w:eastAsia="仿宋_GB2312"/>
          <w:sz w:val="32"/>
          <w:szCs w:val="32"/>
          <w:lang w:val="en-US" w:eastAsia="zh-CN"/>
        </w:rPr>
        <w:t>拨款</w:t>
      </w:r>
      <w:r>
        <w:rPr>
          <w:rFonts w:hint="eastAsia" w:ascii="仿宋_GB2312" w:hAnsi="仿宋"/>
          <w:sz w:val="32"/>
          <w:szCs w:val="32"/>
          <w:lang w:val="en-US" w:eastAsia="zh-CN"/>
        </w:rPr>
        <w:t>1940.37万</w:t>
      </w:r>
      <w:r>
        <w:rPr>
          <w:rFonts w:hint="eastAsia" w:ascii="仿宋_GB2312" w:hAnsi="仿宋" w:eastAsia="仿宋_GB2312"/>
          <w:sz w:val="32"/>
          <w:szCs w:val="32"/>
          <w:lang w:val="en-US" w:eastAsia="zh-CN"/>
        </w:rPr>
        <w:t>元，</w:t>
      </w:r>
      <w:r>
        <w:rPr>
          <w:rFonts w:hint="eastAsia" w:ascii="仿宋_GB2312" w:hAnsi="仿宋"/>
          <w:sz w:val="32"/>
          <w:szCs w:val="32"/>
          <w:lang w:val="en-US" w:eastAsia="zh-CN"/>
        </w:rPr>
        <w:t>调增1500万元，</w:t>
      </w:r>
      <w:r>
        <w:rPr>
          <w:rFonts w:hint="eastAsia" w:ascii="仿宋_GB2312" w:hAnsi="仿宋" w:eastAsia="仿宋_GB2312"/>
          <w:sz w:val="32"/>
          <w:szCs w:val="32"/>
          <w:lang w:val="en-US" w:eastAsia="zh-CN"/>
        </w:rPr>
        <w:t>20</w:t>
      </w:r>
      <w:r>
        <w:rPr>
          <w:rFonts w:hint="eastAsia" w:ascii="仿宋_GB2312" w:hAnsi="仿宋"/>
          <w:sz w:val="32"/>
          <w:szCs w:val="32"/>
          <w:lang w:val="en-US" w:eastAsia="zh-CN"/>
        </w:rPr>
        <w:t>20</w:t>
      </w:r>
      <w:r>
        <w:rPr>
          <w:rFonts w:hint="eastAsia" w:ascii="仿宋_GB2312" w:hAnsi="仿宋" w:eastAsia="仿宋_GB2312"/>
          <w:sz w:val="32"/>
          <w:szCs w:val="32"/>
          <w:lang w:val="en-US" w:eastAsia="zh-CN"/>
        </w:rPr>
        <w:t>年</w:t>
      </w:r>
      <w:r>
        <w:rPr>
          <w:rFonts w:hint="eastAsia" w:ascii="仿宋_GB2312" w:hAnsi="仿宋"/>
          <w:sz w:val="32"/>
          <w:szCs w:val="32"/>
          <w:lang w:val="en-US" w:eastAsia="zh-CN"/>
        </w:rPr>
        <w:t>该</w:t>
      </w:r>
      <w:r>
        <w:rPr>
          <w:rFonts w:hint="eastAsia" w:ascii="仿宋_GB2312" w:hAnsi="仿宋" w:eastAsia="仿宋_GB2312"/>
          <w:sz w:val="32"/>
          <w:szCs w:val="32"/>
          <w:lang w:val="en-US" w:eastAsia="zh-CN"/>
        </w:rPr>
        <w:t>项目</w:t>
      </w:r>
      <w:r>
        <w:rPr>
          <w:rFonts w:hint="eastAsia" w:ascii="仿宋_GB2312" w:hAnsi="仿宋"/>
          <w:sz w:val="32"/>
          <w:szCs w:val="32"/>
          <w:lang w:val="en-US" w:eastAsia="zh-CN"/>
        </w:rPr>
        <w:t>区级财政资金</w:t>
      </w:r>
      <w:r>
        <w:rPr>
          <w:rFonts w:hint="eastAsia" w:ascii="仿宋_GB2312" w:hAnsi="仿宋" w:eastAsia="仿宋_GB2312"/>
          <w:sz w:val="32"/>
          <w:szCs w:val="32"/>
          <w:lang w:val="en-US" w:eastAsia="zh-CN"/>
        </w:rPr>
        <w:t>共计支出</w:t>
      </w:r>
      <w:r>
        <w:rPr>
          <w:rFonts w:hint="eastAsia" w:ascii="仿宋" w:hAnsi="仿宋" w:eastAsia="仿宋" w:cs="仿宋"/>
          <w:b w:val="0"/>
          <w:bCs w:val="0"/>
          <w:kern w:val="2"/>
          <w:sz w:val="32"/>
          <w:szCs w:val="32"/>
          <w:lang w:val="en-US" w:eastAsia="zh-CN"/>
        </w:rPr>
        <w:t>3206.94434万元，财政预算资金使用率达93.22</w:t>
      </w:r>
      <w:bookmarkStart w:id="0" w:name="_GoBack"/>
      <w:bookmarkEnd w:id="0"/>
      <w:r>
        <w:rPr>
          <w:rFonts w:hint="eastAsia" w:ascii="仿宋" w:hAnsi="仿宋" w:eastAsia="仿宋" w:cs="仿宋"/>
          <w:b w:val="0"/>
          <w:bCs w:val="0"/>
          <w:kern w:val="2"/>
          <w:sz w:val="32"/>
          <w:szCs w:val="32"/>
          <w:lang w:val="en-US" w:eastAsia="zh-CN"/>
        </w:rPr>
        <w:t>% 。</w:t>
      </w:r>
    </w:p>
    <w:p>
      <w:pPr>
        <w:numPr>
          <w:ilvl w:val="0"/>
          <w:numId w:val="1"/>
        </w:numPr>
        <w:topLinePunct/>
        <w:ind w:firstLine="594" w:firstLineChars="200"/>
        <w:rPr>
          <w:rFonts w:ascii="黑体" w:eastAsia="黑体"/>
          <w:szCs w:val="32"/>
        </w:rPr>
      </w:pPr>
      <w:r>
        <w:rPr>
          <w:rFonts w:hint="eastAsia" w:ascii="黑体" w:eastAsia="黑体"/>
          <w:szCs w:val="32"/>
        </w:rPr>
        <w:t>项目组织实施情况</w:t>
      </w:r>
    </w:p>
    <w:p>
      <w:pPr>
        <w:ind w:firstLine="594" w:firstLineChars="200"/>
        <w:rPr>
          <w:rFonts w:ascii="仿宋_GB2312" w:hAnsi="仿宋_GB2312" w:cs="仿宋_GB2312"/>
          <w:b/>
          <w:bCs/>
          <w:szCs w:val="32"/>
        </w:rPr>
      </w:pPr>
      <w:r>
        <w:rPr>
          <w:rFonts w:hint="eastAsia" w:ascii="仿宋_GB2312" w:hAnsi="仿宋_GB2312" w:cs="仿宋_GB2312"/>
          <w:b/>
          <w:bCs/>
          <w:szCs w:val="32"/>
        </w:rPr>
        <w:t>(一)治理工程于2018年底治理施工中标单位进场，按上级批示要求到 2019 年 9月完成项目治理工程。依据实际治理情况完成项目治理时限由2019年9月调整至2019年11月30日。</w:t>
      </w:r>
    </w:p>
    <w:p>
      <w:pPr>
        <w:ind w:firstLine="594" w:firstLineChars="200"/>
        <w:rPr>
          <w:rFonts w:ascii="仿宋_GB2312" w:hAnsi="仿宋_GB2312" w:cs="仿宋_GB2312"/>
          <w:szCs w:val="32"/>
        </w:rPr>
      </w:pPr>
      <w:r>
        <w:rPr>
          <w:rFonts w:hint="eastAsia" w:ascii="仿宋_GB2312" w:hAnsi="仿宋_GB2312" w:cs="仿宋_GB2312"/>
          <w:b/>
          <w:bCs/>
          <w:szCs w:val="32"/>
        </w:rPr>
        <w:t>(二)开展情况</w:t>
      </w:r>
    </w:p>
    <w:p>
      <w:pPr>
        <w:ind w:firstLine="640"/>
        <w:rPr>
          <w:rFonts w:ascii="仿宋_GB2312" w:hAnsi="仿宋_GB2312" w:cs="仿宋_GB2312"/>
          <w:szCs w:val="32"/>
        </w:rPr>
      </w:pPr>
      <w:r>
        <w:rPr>
          <w:rFonts w:hint="eastAsia" w:ascii="仿宋_GB2312" w:hAnsi="仿宋_GB2312" w:cs="仿宋_GB2312"/>
          <w:szCs w:val="32"/>
        </w:rPr>
        <w:t>&lt;1&gt;、可研报告编制</w:t>
      </w:r>
    </w:p>
    <w:p>
      <w:pPr>
        <w:ind w:firstLine="640"/>
        <w:rPr>
          <w:rFonts w:ascii="仿宋_GB2312" w:hAnsi="仿宋_GB2312" w:cs="仿宋_GB2312"/>
          <w:szCs w:val="32"/>
        </w:rPr>
      </w:pPr>
      <w:r>
        <w:rPr>
          <w:rFonts w:hint="eastAsia" w:ascii="仿宋_GB2312" w:hAnsi="仿宋_GB2312" w:cs="仿宋_GB2312"/>
          <w:szCs w:val="32"/>
        </w:rPr>
        <w:t>我局于2018年7月29日完成可研报告编制工作，并于8月14日取得区发改局立项审批。</w:t>
      </w:r>
    </w:p>
    <w:p>
      <w:pPr>
        <w:ind w:firstLine="640"/>
        <w:rPr>
          <w:rFonts w:ascii="仿宋_GB2312" w:hAnsi="仿宋_GB2312" w:cs="仿宋_GB2312"/>
          <w:szCs w:val="32"/>
        </w:rPr>
      </w:pPr>
      <w:r>
        <w:rPr>
          <w:rFonts w:hint="eastAsia" w:ascii="仿宋_GB2312" w:hAnsi="仿宋_GB2312" w:cs="仿宋_GB2312"/>
          <w:szCs w:val="32"/>
        </w:rPr>
        <w:t>&lt;2&gt;、水土保持方案编制情况</w:t>
      </w:r>
    </w:p>
    <w:p>
      <w:pPr>
        <w:ind w:firstLine="640"/>
        <w:rPr>
          <w:rFonts w:ascii="仿宋_GB2312" w:hAnsi="仿宋_GB2312" w:cs="仿宋_GB2312"/>
          <w:szCs w:val="32"/>
        </w:rPr>
      </w:pPr>
      <w:r>
        <w:rPr>
          <w:rFonts w:hint="eastAsia" w:ascii="仿宋_GB2312" w:hAnsi="仿宋_GB2312" w:cs="仿宋_GB2312"/>
          <w:szCs w:val="32"/>
        </w:rPr>
        <w:t>根据区发改局立项要求，我局于2018年9月6日完成水土保持方案编制工作并报水务部门审批。</w:t>
      </w:r>
    </w:p>
    <w:p>
      <w:pPr>
        <w:ind w:firstLine="640"/>
        <w:rPr>
          <w:rFonts w:ascii="仿宋_GB2312" w:hAnsi="仿宋_GB2312" w:cs="仿宋_GB2312"/>
          <w:szCs w:val="32"/>
        </w:rPr>
      </w:pPr>
      <w:r>
        <w:rPr>
          <w:rFonts w:hint="eastAsia" w:ascii="仿宋_GB2312" w:hAnsi="仿宋_GB2312" w:cs="仿宋_GB2312"/>
          <w:szCs w:val="32"/>
        </w:rPr>
        <w:t>&lt;3&gt;、EPC、监理招标情况</w:t>
      </w:r>
    </w:p>
    <w:p>
      <w:pPr>
        <w:tabs>
          <w:tab w:val="left" w:pos="0"/>
        </w:tabs>
        <w:ind w:left="2" w:leftChars="1" w:firstLine="594" w:firstLineChars="200"/>
        <w:rPr>
          <w:rFonts w:ascii="仿宋_GB2312" w:hAnsi="仿宋_GB2312" w:cs="仿宋_GB2312"/>
          <w:szCs w:val="32"/>
        </w:rPr>
      </w:pPr>
      <w:r>
        <w:rPr>
          <w:rFonts w:hint="eastAsia" w:ascii="仿宋_GB2312" w:hAnsi="仿宋_GB2312" w:cs="仿宋_GB2312"/>
          <w:szCs w:val="32"/>
        </w:rPr>
        <w:t>根据项目治理要求，我局于2018年8月23日完成了项目EPC总承包及工程监理招标。</w:t>
      </w:r>
    </w:p>
    <w:p>
      <w:pPr>
        <w:spacing w:line="560" w:lineRule="exact"/>
        <w:ind w:firstLine="594" w:firstLineChars="200"/>
        <w:rPr>
          <w:szCs w:val="32"/>
        </w:rPr>
      </w:pPr>
      <w:r>
        <w:rPr>
          <w:rFonts w:hint="eastAsia"/>
          <w:szCs w:val="32"/>
        </w:rPr>
        <w:t>&lt;4&gt;、2019年4月3日项目环评通过专家评审，2019年6月19日取得环评批复报告。</w:t>
      </w:r>
    </w:p>
    <w:p>
      <w:pPr>
        <w:spacing w:line="560" w:lineRule="exact"/>
        <w:ind w:firstLine="594" w:firstLineChars="200"/>
        <w:rPr>
          <w:kern w:val="0"/>
          <w:szCs w:val="32"/>
          <w:lang w:val="zh-CN"/>
        </w:rPr>
      </w:pPr>
      <w:r>
        <w:rPr>
          <w:rFonts w:hint="eastAsia"/>
          <w:color w:val="000000"/>
          <w:szCs w:val="32"/>
          <w:lang w:val="zh-CN"/>
        </w:rPr>
        <w:t>截止2</w:t>
      </w:r>
      <w:r>
        <w:rPr>
          <w:color w:val="000000"/>
          <w:szCs w:val="32"/>
          <w:lang w:val="zh-CN"/>
        </w:rPr>
        <w:t>0</w:t>
      </w:r>
      <w:r>
        <w:rPr>
          <w:rFonts w:hint="eastAsia"/>
          <w:color w:val="000000"/>
          <w:szCs w:val="32"/>
          <w:lang w:val="zh-CN"/>
        </w:rPr>
        <w:t>20年6月</w:t>
      </w:r>
      <w:r>
        <w:rPr>
          <w:rFonts w:hint="eastAsia"/>
          <w:color w:val="000000"/>
          <w:szCs w:val="32"/>
        </w:rPr>
        <w:t>29</w:t>
      </w:r>
      <w:r>
        <w:rPr>
          <w:rFonts w:hint="eastAsia"/>
          <w:color w:val="000000"/>
          <w:szCs w:val="32"/>
          <w:lang w:val="zh-CN"/>
        </w:rPr>
        <w:t>日，</w:t>
      </w:r>
      <w:r>
        <w:rPr>
          <w:rFonts w:hint="eastAsia" w:hAnsi="仿宋_GB2312"/>
          <w:szCs w:val="32"/>
        </w:rPr>
        <w:t>呈贡区政府与市城管局、市生态环境局、市滇管局等相关部门共同对项目治理完成了初步验收。</w:t>
      </w:r>
    </w:p>
    <w:p>
      <w:pPr>
        <w:topLinePunct/>
        <w:ind w:firstLine="594" w:firstLineChars="200"/>
        <w:rPr>
          <w:rFonts w:ascii="黑体" w:eastAsia="黑体"/>
          <w:szCs w:val="32"/>
        </w:rPr>
      </w:pPr>
      <w:r>
        <w:rPr>
          <w:rFonts w:hint="eastAsia" w:ascii="黑体" w:eastAsia="黑体"/>
          <w:szCs w:val="32"/>
        </w:rPr>
        <w:t>四、项目绩效情况</w:t>
      </w:r>
    </w:p>
    <w:p>
      <w:pPr>
        <w:spacing w:line="20" w:lineRule="atLeast"/>
        <w:ind w:firstLine="640"/>
        <w:rPr>
          <w:rFonts w:ascii="仿宋" w:hAnsi="仿宋" w:eastAsia="仿宋" w:cs="仿宋"/>
        </w:rPr>
      </w:pPr>
      <w:r>
        <w:rPr>
          <w:rFonts w:hint="eastAsia" w:ascii="仿宋" w:hAnsi="仿宋" w:eastAsia="仿宋" w:cs="仿宋"/>
          <w:szCs w:val="32"/>
        </w:rPr>
        <w:t>2020年，</w:t>
      </w:r>
      <w:r>
        <w:rPr>
          <w:rFonts w:hint="eastAsia" w:ascii="仿宋" w:hAnsi="仿宋" w:eastAsia="仿宋" w:cs="仿宋"/>
        </w:rPr>
        <w:t>为深入贯彻习近平总书记系列重要讲话精神，以及省、市、区关于城乡人居环境提升行动的部署要求，促进呈贡区旧垃圾填埋场治理及生活垃圾综合处理工程，不断提高呈贡区生活垃圾减量化、资源化、无害化管理水平。推进滇池流域及补水区水环境治理及创建优良的城乡人居环境。</w:t>
      </w:r>
    </w:p>
    <w:p>
      <w:pPr>
        <w:numPr>
          <w:ilvl w:val="0"/>
          <w:numId w:val="1"/>
        </w:numPr>
        <w:topLinePunct/>
        <w:ind w:firstLine="594" w:firstLineChars="200"/>
        <w:rPr>
          <w:rFonts w:ascii="黑体" w:eastAsia="黑体"/>
          <w:szCs w:val="32"/>
        </w:rPr>
      </w:pPr>
      <w:r>
        <w:rPr>
          <w:rFonts w:hint="eastAsia" w:ascii="黑体" w:eastAsia="黑体"/>
          <w:szCs w:val="32"/>
        </w:rPr>
        <w:t>存在的问题</w:t>
      </w:r>
    </w:p>
    <w:p>
      <w:pPr>
        <w:tabs>
          <w:tab w:val="left" w:pos="0"/>
        </w:tabs>
        <w:spacing w:line="560" w:lineRule="exact"/>
        <w:ind w:firstLine="594" w:firstLineChars="200"/>
        <w:rPr>
          <w:szCs w:val="32"/>
        </w:rPr>
      </w:pPr>
      <w:r>
        <w:rPr>
          <w:rFonts w:hint="eastAsia"/>
          <w:szCs w:val="32"/>
          <w:lang w:val="zh-CN"/>
        </w:rPr>
        <w:t>由于昆明丰德焚烧发电厂接收处置轻质物能力有限，外运到其他焚烧发电厂及正规填埋场处置成本太高，造成了筛分出来的轻质物大量积存，</w:t>
      </w:r>
      <w:r>
        <w:rPr>
          <w:rFonts w:hint="eastAsia"/>
          <w:szCs w:val="32"/>
        </w:rPr>
        <w:t>轻质物焚烧工作还需一段时间。</w:t>
      </w:r>
    </w:p>
    <w:p>
      <w:pPr>
        <w:topLinePunct/>
        <w:ind w:firstLine="594" w:firstLineChars="200"/>
        <w:rPr>
          <w:rFonts w:ascii="黑体" w:eastAsia="黑体"/>
          <w:szCs w:val="32"/>
        </w:rPr>
      </w:pPr>
      <w:r>
        <w:rPr>
          <w:rFonts w:hint="eastAsia" w:ascii="黑体" w:eastAsia="黑体"/>
          <w:szCs w:val="32"/>
        </w:rPr>
        <w:t>六、其他需要说明的问题</w:t>
      </w:r>
    </w:p>
    <w:p>
      <w:pPr>
        <w:topLinePunct/>
        <w:ind w:firstLine="594" w:firstLineChars="200"/>
        <w:rPr>
          <w:rFonts w:ascii="仿宋_GB2312"/>
          <w:szCs w:val="32"/>
        </w:rPr>
      </w:pPr>
      <w:r>
        <w:rPr>
          <w:rFonts w:hint="eastAsia" w:ascii="仿宋_GB2312"/>
          <w:szCs w:val="32"/>
        </w:rPr>
        <w:t>（一）后续工作计划。</w:t>
      </w:r>
    </w:p>
    <w:p>
      <w:pPr>
        <w:spacing w:line="560" w:lineRule="exact"/>
        <w:ind w:firstLine="594" w:firstLineChars="200"/>
        <w:rPr>
          <w:rFonts w:ascii="仿宋_GB2312"/>
          <w:szCs w:val="32"/>
        </w:rPr>
      </w:pPr>
      <w:r>
        <w:rPr>
          <w:rFonts w:hint="eastAsia" w:hAnsi="仿宋_GB2312"/>
          <w:szCs w:val="32"/>
        </w:rPr>
        <w:t>下一步，将积极督促施工单位组织做好轻质物处置工作和生态修复工作。一是加快完成筛分轻质物处置工作；二是继续通过焚烧和转运填埋的方式消化存量垃圾，加快完成项目收尾；三是同步开展旧垃圾填埋区域</w:t>
      </w:r>
      <w:r>
        <w:rPr>
          <w:rFonts w:hint="eastAsia"/>
          <w:kern w:val="0"/>
          <w:szCs w:val="32"/>
          <w:lang w:val="zh-CN"/>
        </w:rPr>
        <w:t>生态修复工程，以乔木种植为主，花草配套为辅，实施景观打造。</w:t>
      </w:r>
    </w:p>
    <w:p>
      <w:pPr>
        <w:topLinePunct/>
        <w:ind w:firstLine="594" w:firstLineChars="200"/>
        <w:rPr>
          <w:rFonts w:ascii="仿宋_GB2312"/>
          <w:szCs w:val="32"/>
        </w:rPr>
      </w:pPr>
      <w:r>
        <w:rPr>
          <w:rFonts w:hint="eastAsia" w:ascii="仿宋_GB2312"/>
          <w:szCs w:val="32"/>
        </w:rPr>
        <w:t>（二）主要经验做法、改进措施和有关建议等。</w:t>
      </w:r>
    </w:p>
    <w:p>
      <w:pPr>
        <w:ind w:firstLine="593"/>
        <w:rPr>
          <w:rFonts w:hint="eastAsia"/>
        </w:rPr>
      </w:pPr>
      <w:r>
        <w:rPr>
          <w:rFonts w:hint="eastAsia"/>
        </w:rPr>
        <w:t>无</w:t>
      </w:r>
    </w:p>
    <w:p>
      <w:pPr>
        <w:ind w:firstLine="593"/>
        <w:rPr>
          <w:rFonts w:hint="eastAsia"/>
          <w:lang w:val="en-US" w:eastAsia="zh-CN"/>
        </w:rPr>
      </w:pPr>
      <w:r>
        <w:rPr>
          <w:rFonts w:hint="eastAsia"/>
          <w:lang w:val="en-US" w:eastAsia="zh-CN"/>
        </w:rPr>
        <w:t xml:space="preserve">                      </w:t>
      </w:r>
    </w:p>
    <w:p>
      <w:pPr>
        <w:ind w:firstLine="3219" w:firstLineChars="1084"/>
        <w:rPr>
          <w:rFonts w:hint="eastAsia"/>
          <w:lang w:val="en-US" w:eastAsia="zh-CN"/>
        </w:rPr>
      </w:pPr>
      <w:r>
        <w:rPr>
          <w:rFonts w:hint="eastAsia"/>
          <w:lang w:val="en-US" w:eastAsia="zh-CN"/>
        </w:rPr>
        <w:t>昆明市呈贡区市政管理综合服务中心</w:t>
      </w:r>
    </w:p>
    <w:p>
      <w:pPr>
        <w:ind w:firstLine="593"/>
        <w:rPr>
          <w:rFonts w:hint="eastAsia" w:eastAsia="仿宋_GB2312"/>
          <w:lang w:val="en-US" w:eastAsia="zh-CN"/>
        </w:rPr>
      </w:pPr>
      <w:r>
        <w:rPr>
          <w:rFonts w:hint="eastAsia"/>
          <w:lang w:val="en-US" w:eastAsia="zh-CN"/>
        </w:rPr>
        <w:t xml:space="preserve">                            2021年3月11日        </w:t>
      </w:r>
    </w:p>
    <w:sectPr>
      <w:pgSz w:w="11906" w:h="16838"/>
      <w:pgMar w:top="1723" w:right="1800" w:bottom="1723" w:left="1800" w:header="851" w:footer="992" w:gutter="0"/>
      <w:cols w:space="0" w:num="1"/>
      <w:docGrid w:type="linesAndChars" w:linePitch="608"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397FA1"/>
    <w:multiLevelType w:val="singleLevel"/>
    <w:tmpl w:val="F1397FA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48"/>
  <w:drawingGridVerticalSpacing w:val="30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E43A5"/>
    <w:rsid w:val="0032719C"/>
    <w:rsid w:val="006E43A5"/>
    <w:rsid w:val="00B86616"/>
    <w:rsid w:val="00C665F7"/>
    <w:rsid w:val="01C21DCA"/>
    <w:rsid w:val="0259314D"/>
    <w:rsid w:val="04E13474"/>
    <w:rsid w:val="05AE36CA"/>
    <w:rsid w:val="09892AC5"/>
    <w:rsid w:val="09C72C5E"/>
    <w:rsid w:val="0AD455FE"/>
    <w:rsid w:val="0D362EB3"/>
    <w:rsid w:val="0D6C6868"/>
    <w:rsid w:val="0F3C0A4F"/>
    <w:rsid w:val="189E0319"/>
    <w:rsid w:val="1A750EA8"/>
    <w:rsid w:val="1B042B3E"/>
    <w:rsid w:val="1EC6365E"/>
    <w:rsid w:val="1F49541C"/>
    <w:rsid w:val="24934174"/>
    <w:rsid w:val="25D20C71"/>
    <w:rsid w:val="26553BF6"/>
    <w:rsid w:val="27BC22CC"/>
    <w:rsid w:val="2D2515D5"/>
    <w:rsid w:val="2F8A538D"/>
    <w:rsid w:val="322D77F4"/>
    <w:rsid w:val="34E06544"/>
    <w:rsid w:val="378A5996"/>
    <w:rsid w:val="3802133B"/>
    <w:rsid w:val="3B407B41"/>
    <w:rsid w:val="3E736C46"/>
    <w:rsid w:val="3F042E5B"/>
    <w:rsid w:val="3F56685B"/>
    <w:rsid w:val="3FC12B3B"/>
    <w:rsid w:val="3FEC5500"/>
    <w:rsid w:val="418D3181"/>
    <w:rsid w:val="42F00B61"/>
    <w:rsid w:val="44FD5B4D"/>
    <w:rsid w:val="459F60F5"/>
    <w:rsid w:val="475F3402"/>
    <w:rsid w:val="48FF1083"/>
    <w:rsid w:val="4DCF58BC"/>
    <w:rsid w:val="55A3005B"/>
    <w:rsid w:val="58C66CC2"/>
    <w:rsid w:val="5A3C6978"/>
    <w:rsid w:val="5A673140"/>
    <w:rsid w:val="605C0F47"/>
    <w:rsid w:val="61E5281B"/>
    <w:rsid w:val="67600811"/>
    <w:rsid w:val="67AF62B7"/>
    <w:rsid w:val="6C992B1A"/>
    <w:rsid w:val="6CA712A1"/>
    <w:rsid w:val="6E9B432C"/>
    <w:rsid w:val="6F5B3765"/>
    <w:rsid w:val="6F9A38FE"/>
    <w:rsid w:val="70AF6AF7"/>
    <w:rsid w:val="71215E8F"/>
    <w:rsid w:val="77600454"/>
    <w:rsid w:val="79F043D9"/>
    <w:rsid w:val="7F7D39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eastAsia="仿宋_GB2312" w:asciiTheme="minorHAnsi" w:hAnsiTheme="minorHAnsi" w:cstheme="minorBidi"/>
      <w:kern w:val="2"/>
      <w:sz w:val="18"/>
      <w:szCs w:val="18"/>
    </w:rPr>
  </w:style>
  <w:style w:type="character" w:customStyle="1" w:styleId="7">
    <w:name w:val="页脚 Char"/>
    <w:basedOn w:val="5"/>
    <w:link w:val="2"/>
    <w:qFormat/>
    <w:uiPriority w:val="0"/>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204</Words>
  <Characters>1169</Characters>
  <Lines>9</Lines>
  <Paragraphs>2</Paragraphs>
  <TotalTime>1</TotalTime>
  <ScaleCrop>false</ScaleCrop>
  <LinksUpToDate>false</LinksUpToDate>
  <CharactersWithSpaces>1371</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小希希</cp:lastModifiedBy>
  <cp:lastPrinted>2020-03-24T03:04:00Z</cp:lastPrinted>
  <dcterms:modified xsi:type="dcterms:W3CDTF">2021-03-12T07:32:46Z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