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环卫指挥平台维护运行费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hint="eastAsia" w:ascii="仿宋_GB2312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-US" w:eastAsia="zh-CN"/>
        </w:rPr>
        <w:t>（</w:t>
      </w:r>
      <w:r>
        <w:rPr>
          <w:rFonts w:hint="eastAsia" w:ascii="仿宋_GB2312"/>
          <w:szCs w:val="32"/>
          <w:lang w:val="en-US" w:eastAsia="zh-CN"/>
        </w:rPr>
        <w:t>一）项目概况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呈贡区环卫指挥平台维护运行费。主要用于环卫指挥平台的运行维护，涉及到互联网宽带费、车辆智能化平台系统升级维护、安装环卫智能监控系统等。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(二）</w:t>
      </w:r>
      <w:r>
        <w:rPr>
          <w:rFonts w:hint="eastAsia" w:ascii="仿宋_GB2312"/>
          <w:szCs w:val="32"/>
        </w:rPr>
        <w:t>项目绩效目标及指标完成情况。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1.</w:t>
      </w:r>
      <w:r>
        <w:rPr>
          <w:rFonts w:hint="eastAsia" w:ascii="仿宋_GB2312"/>
          <w:szCs w:val="32"/>
        </w:rPr>
        <w:t>项目绩效总目标。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实现环卫车辆实时监管、实现称重数据传输。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leftChars="0" w:firstLine="594" w:firstLineChars="200"/>
        <w:textAlignment w:val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val="en-US" w:eastAsia="zh-CN"/>
        </w:rPr>
        <w:t>2.</w:t>
      </w:r>
      <w:r>
        <w:rPr>
          <w:rFonts w:hint="eastAsia" w:ascii="仿宋_GB2312"/>
          <w:szCs w:val="32"/>
        </w:rPr>
        <w:t>项目绩效阶段性目标。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按照年度目标及时分阶段完成各项工作，资金投入合理、及时、高效。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3.指标完成情况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指标完成率达到100%。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环卫指挥平台维护运行费项目</w:t>
      </w:r>
      <w:r>
        <w:rPr>
          <w:rFonts w:hint="eastAsia" w:ascii="仿宋_GB2312" w:hAnsi="仿宋_GB2312" w:eastAsia="仿宋_GB2312" w:cs="仿宋_GB2312"/>
          <w:szCs w:val="32"/>
        </w:rPr>
        <w:t>财政拨款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20.9056万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元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，20</w:t>
      </w:r>
      <w:r>
        <w:rPr>
          <w:rFonts w:hint="eastAsia" w:ascii="仿宋_GB2312" w:hAnsi="仿宋_GB2312" w:cs="仿宋_GB231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环卫指挥平台维护运行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Cs w:val="32"/>
        </w:rPr>
        <w:t>共计支出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0.9089万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元，财政预算资金使用率达</w:t>
      </w:r>
      <w:r>
        <w:rPr>
          <w:rFonts w:hint="eastAsia" w:ascii="仿宋_GB2312" w:hAnsi="仿宋_GB2312" w:cs="仿宋_GB2312"/>
          <w:szCs w:val="32"/>
          <w:lang w:val="en-US" w:eastAsia="zh-CN"/>
        </w:rPr>
        <w:t>4.35</w:t>
      </w:r>
      <w:r>
        <w:rPr>
          <w:rFonts w:hint="eastAsia" w:ascii="仿宋_GB2312" w:hAnsi="仿宋_GB2312" w:eastAsia="仿宋_GB2312" w:cs="仿宋_GB2312"/>
          <w:szCs w:val="32"/>
        </w:rPr>
        <w:t>%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项目资金由区财政预算专项拨付，专款专用，在资金使用过程中，</w:t>
      </w:r>
      <w:r>
        <w:rPr>
          <w:rFonts w:hint="eastAsia" w:ascii="仿宋_GB2312" w:hAnsi="仿宋_GB2312" w:cs="宋体"/>
          <w:kern w:val="0"/>
          <w:sz w:val="32"/>
          <w:szCs w:val="32"/>
          <w:lang w:eastAsia="zh-CN"/>
        </w:rPr>
        <w:t>市政中心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2020年</w:t>
      </w:r>
      <w:r>
        <w:rPr>
          <w:rFonts w:hint="eastAsia" w:ascii="仿宋_GB2312"/>
          <w:szCs w:val="32"/>
          <w:lang w:val="en-US" w:eastAsia="zh-CN"/>
        </w:rPr>
        <w:t>通过呈贡区环卫指挥平台的运行，实现了环卫车辆实时监管、实现称重数据传输。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left="634" w:leftChars="0" w:firstLine="0" w:firstLineChars="0"/>
        <w:textAlignment w:val="auto"/>
        <w:rPr>
          <w:rFonts w:hint="eastAsia" w:ascii="仿宋_GB2312"/>
          <w:b w:val="0"/>
          <w:bCs/>
          <w:szCs w:val="32"/>
          <w:highlight w:val="none"/>
          <w:lang w:val="en-US" w:eastAsia="zh-CN"/>
        </w:rPr>
      </w:pPr>
      <w:r>
        <w:rPr>
          <w:rFonts w:hint="eastAsia" w:ascii="仿宋_GB2312"/>
          <w:b w:val="0"/>
          <w:bCs/>
          <w:szCs w:val="32"/>
          <w:highlight w:val="none"/>
          <w:lang w:val="en-US" w:eastAsia="zh-CN"/>
        </w:rPr>
        <w:t>项目资金情况分析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b/>
          <w:szCs w:val="32"/>
          <w:highlight w:val="none"/>
          <w:lang w:val="en-US" w:eastAsia="zh-CN"/>
        </w:rPr>
      </w:pP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2020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年</w:t>
      </w:r>
      <w:r>
        <w:rPr>
          <w:rFonts w:hint="eastAsia" w:ascii="仿宋_GB2312" w:hAnsi="仿宋" w:cs="仿宋"/>
          <w:bCs/>
          <w:sz w:val="32"/>
          <w:szCs w:val="32"/>
          <w:lang w:eastAsia="zh-CN"/>
        </w:rPr>
        <w:t>环卫指挥平台维护运行费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仿宋"/>
          <w:bCs/>
          <w:sz w:val="32"/>
          <w:szCs w:val="32"/>
        </w:rPr>
        <w:t>财政拨款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20.9056万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元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，2020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" w:cs="仿宋"/>
          <w:bCs/>
          <w:sz w:val="32"/>
          <w:szCs w:val="32"/>
          <w:lang w:eastAsia="zh-CN"/>
        </w:rPr>
        <w:t>环卫指挥平台维护运行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费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共计支出</w:t>
      </w:r>
      <w:r>
        <w:rPr>
          <w:rFonts w:hint="eastAsia" w:ascii="仿宋_GB2312" w:hAnsi="仿宋" w:cs="仿宋"/>
          <w:bCs/>
          <w:sz w:val="32"/>
          <w:szCs w:val="32"/>
          <w:lang w:val="en-US" w:eastAsia="zh-CN"/>
        </w:rPr>
        <w:t>0.9089万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元</w:t>
      </w:r>
      <w:r>
        <w:rPr>
          <w:rFonts w:hint="eastAsia" w:ascii="仿宋_GB2312" w:hAnsi="仿宋_GB2312" w:eastAsia="仿宋_GB2312" w:cs="仿宋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"/>
          <w:bCs/>
          <w:color w:val="auto"/>
          <w:sz w:val="32"/>
          <w:szCs w:val="32"/>
        </w:rPr>
        <w:t>财政预算资金使用率达</w:t>
      </w:r>
      <w:r>
        <w:rPr>
          <w:rFonts w:hint="eastAsia" w:ascii="仿宋_GB2312" w:hAnsi="仿宋_GB2312" w:cs="仿宋"/>
          <w:bCs/>
          <w:color w:val="auto"/>
          <w:sz w:val="32"/>
          <w:szCs w:val="32"/>
          <w:lang w:val="en-US" w:eastAsia="zh-CN"/>
        </w:rPr>
        <w:t>4.35</w:t>
      </w:r>
      <w:r>
        <w:rPr>
          <w:rFonts w:hint="eastAsia" w:ascii="仿宋_GB2312" w:hAnsi="仿宋_GB2312" w:eastAsia="仿宋_GB2312" w:cs="仿宋"/>
          <w:bCs/>
          <w:color w:val="auto"/>
          <w:sz w:val="32"/>
          <w:szCs w:val="32"/>
        </w:rPr>
        <w:t>%</w:t>
      </w:r>
      <w:r>
        <w:rPr>
          <w:rFonts w:hint="eastAsia" w:ascii="仿宋_GB2312" w:hAnsi="仿宋_GB2312" w:cs="仿宋"/>
          <w:bCs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left="634" w:leftChars="0" w:firstLine="0" w:firstLineChars="0"/>
        <w:textAlignment w:val="auto"/>
        <w:rPr>
          <w:rFonts w:hint="default" w:ascii="仿宋_GB2312"/>
          <w:b w:val="0"/>
          <w:bCs/>
          <w:szCs w:val="32"/>
          <w:highlight w:val="none"/>
          <w:lang w:val="en-US" w:eastAsia="zh-CN"/>
        </w:rPr>
      </w:pPr>
      <w:r>
        <w:rPr>
          <w:rFonts w:hint="eastAsia" w:ascii="仿宋_GB2312"/>
          <w:b w:val="0"/>
          <w:bCs/>
          <w:szCs w:val="32"/>
          <w:highlight w:val="none"/>
          <w:lang w:val="en-US" w:eastAsia="zh-CN"/>
        </w:rPr>
        <w:t>项目实施情况分析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通过呈贡区环卫指挥平台的运行，实现了环卫车辆实时监管、实现称重数据传输，能够及时了解道路的清扫率和垃圾清运率，提高呈贡的人居环境和投资环境。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(三）项目绩效情况分析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594" w:firstLineChars="200"/>
        <w:textAlignment w:val="auto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呈贡区环卫指挥平台正常运行。减少了呈贡区环境污染，卫生管理工作得到巩固，呈贡区环境卫生得到进一步提升。</w:t>
      </w:r>
    </w:p>
    <w:p>
      <w:pPr>
        <w:numPr>
          <w:ilvl w:val="0"/>
          <w:numId w:val="2"/>
        </w:num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存在的问题</w:t>
      </w:r>
    </w:p>
    <w:p>
      <w:pPr>
        <w:numPr>
          <w:ilvl w:val="0"/>
          <w:numId w:val="0"/>
        </w:numPr>
        <w:topLinePunct/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32"/>
          <w:lang w:val="en-US" w:eastAsia="zh-CN"/>
        </w:rPr>
        <w:t xml:space="preserve"> 无。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ind w:firstLine="594" w:firstLineChars="200"/>
        <w:rPr>
          <w:rFonts w:hint="eastAsia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240" w:lineRule="auto"/>
        <w:ind w:left="4752" w:leftChars="200" w:hanging="4158" w:hangingChars="1400"/>
        <w:textAlignment w:val="auto"/>
        <w:rPr>
          <w:rFonts w:hint="default" w:ascii="仿宋_GB2312"/>
          <w:szCs w:val="32"/>
          <w:lang w:val="en-US" w:eastAsia="zh-CN"/>
        </w:rPr>
      </w:pPr>
      <w:r>
        <w:rPr>
          <w:rFonts w:hint="eastAsia" w:ascii="仿宋_GB2312"/>
          <w:szCs w:val="32"/>
          <w:lang w:val="en-US" w:eastAsia="zh-CN"/>
        </w:rPr>
        <w:t xml:space="preserve">                 昆明市</w:t>
      </w:r>
      <w:r>
        <w:rPr>
          <w:rFonts w:hint="eastAsia" w:ascii="仿宋_GB2312"/>
          <w:szCs w:val="32"/>
          <w:lang w:eastAsia="zh-CN"/>
        </w:rPr>
        <w:t>呈贡区市政管理综合服务中心</w:t>
      </w:r>
      <w:r>
        <w:rPr>
          <w:rFonts w:hint="eastAsia" w:ascii="仿宋_GB2312"/>
          <w:szCs w:val="32"/>
          <w:lang w:val="en-US" w:eastAsia="zh-CN"/>
        </w:rPr>
        <w:t xml:space="preserve">                            2021月3月9日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195677"/>
    <w:multiLevelType w:val="singleLevel"/>
    <w:tmpl w:val="BC19567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B08139"/>
    <w:multiLevelType w:val="singleLevel"/>
    <w:tmpl w:val="E6B08139"/>
    <w:lvl w:ilvl="0" w:tentative="0">
      <w:start w:val="1"/>
      <w:numFmt w:val="chineseCounting"/>
      <w:suff w:val="nothing"/>
      <w:lvlText w:val="(%1）"/>
      <w:lvlJc w:val="left"/>
      <w:pPr>
        <w:ind w:left="634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C2061"/>
    <w:rsid w:val="05AE36CA"/>
    <w:rsid w:val="10066EF3"/>
    <w:rsid w:val="18507AB9"/>
    <w:rsid w:val="2B944F55"/>
    <w:rsid w:val="32A67899"/>
    <w:rsid w:val="378A5996"/>
    <w:rsid w:val="3ABA19F6"/>
    <w:rsid w:val="43E92D22"/>
    <w:rsid w:val="446B5B44"/>
    <w:rsid w:val="471C6118"/>
    <w:rsid w:val="49C549ED"/>
    <w:rsid w:val="4B4118E2"/>
    <w:rsid w:val="50346D99"/>
    <w:rsid w:val="5A2E082C"/>
    <w:rsid w:val="5A3C6978"/>
    <w:rsid w:val="5E5F7235"/>
    <w:rsid w:val="61FB7F0C"/>
    <w:rsid w:val="660B5990"/>
    <w:rsid w:val="67600811"/>
    <w:rsid w:val="6B870879"/>
    <w:rsid w:val="6BB4273E"/>
    <w:rsid w:val="702C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2021-03-12T05:59:48Z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