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w:t>
      </w:r>
      <w:r>
        <w:rPr>
          <w:rFonts w:hint="eastAsia" w:ascii="黑体" w:eastAsia="黑体"/>
          <w:szCs w:val="32"/>
          <w:lang w:val="en-US" w:eastAsia="zh-CN"/>
        </w:rPr>
        <w:t>4-2</w:t>
      </w:r>
      <w:r>
        <w:rPr>
          <w:rFonts w:ascii="黑体" w:eastAsia="黑体"/>
          <w:szCs w:val="32"/>
        </w:rPr>
        <w:t>:</w:t>
      </w:r>
    </w:p>
    <w:p>
      <w:pPr>
        <w:rPr>
          <w:rFonts w:ascii="黑体" w:eastAsia="黑体"/>
          <w:szCs w:val="32"/>
        </w:rPr>
      </w:pPr>
    </w:p>
    <w:p>
      <w:pPr>
        <w:spacing w:line="600" w:lineRule="exact"/>
        <w:jc w:val="center"/>
        <w:rPr>
          <w:rFonts w:ascii="方正小标宋_GBK" w:eastAsia="方正小标宋_GBK"/>
          <w:sz w:val="36"/>
          <w:szCs w:val="36"/>
        </w:rPr>
      </w:pPr>
      <w:r>
        <w:rPr>
          <w:rFonts w:hint="eastAsia" w:ascii="方正小标宋_GBK" w:eastAsia="方正小标宋_GBK"/>
          <w:sz w:val="36"/>
          <w:szCs w:val="36"/>
        </w:rPr>
        <w:t>清扫保洁、垃圾清运市场化经费项目支出绩效报告</w:t>
      </w:r>
      <w:r>
        <w:rPr>
          <w:rFonts w:hint="eastAsia" w:ascii="方正小标宋_GBK" w:eastAsia="方正小标宋_GBK"/>
          <w:sz w:val="36"/>
          <w:szCs w:val="36"/>
          <w:lang w:eastAsia="zh-CN"/>
        </w:rPr>
        <w:t>（自评）</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topLinePunct/>
        <w:ind w:firstLine="594" w:firstLineChars="200"/>
        <w:rPr>
          <w:rFonts w:hint="eastAsia" w:ascii="仿宋_GB2312"/>
          <w:szCs w:val="32"/>
          <w:lang w:eastAsia="zh-CN"/>
        </w:rPr>
      </w:pPr>
      <w:r>
        <w:rPr>
          <w:rFonts w:hint="eastAsia" w:ascii="仿宋_GB2312"/>
          <w:szCs w:val="32"/>
        </w:rPr>
        <w:t>（一）项目基本情况</w:t>
      </w:r>
      <w:r>
        <w:rPr>
          <w:rFonts w:hint="eastAsia" w:ascii="仿宋_GB231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94" w:firstLineChars="200"/>
        <w:jc w:val="both"/>
        <w:textAlignment w:val="auto"/>
        <w:rPr>
          <w:rFonts w:hint="eastAsia" w:ascii="仿宋_GB2312"/>
          <w:szCs w:val="32"/>
          <w:lang w:eastAsia="zh-CN"/>
        </w:rPr>
      </w:pPr>
      <w:r>
        <w:rPr>
          <w:rFonts w:hint="eastAsia" w:ascii="仿宋_GB2312" w:eastAsia="仿宋_GB2312"/>
          <w:sz w:val="32"/>
          <w:szCs w:val="32"/>
        </w:rPr>
        <w:t>根据《昆明市人民政府关于加强环境卫生管理工作的实施意见》（昆政发[2011]98号）、《昆明市人民政府办公厅关于印发贯彻落实市政府加强环境卫生管理工作实施意见工作方案的通知》（昆政办文[2011]112号）等文件要求，昆明市呈贡区城市综合行政执法局将呈贡区清扫保洁、垃圾清运</w:t>
      </w:r>
      <w:r>
        <w:rPr>
          <w:rFonts w:hint="eastAsia" w:ascii="仿宋_GB2312" w:eastAsia="仿宋_GB2312"/>
          <w:sz w:val="32"/>
          <w:szCs w:val="32"/>
          <w:lang w:eastAsia="zh-CN"/>
        </w:rPr>
        <w:t>作业</w:t>
      </w:r>
      <w:r>
        <w:rPr>
          <w:rFonts w:hint="eastAsia" w:ascii="仿宋_GB2312" w:eastAsia="仿宋_GB2312"/>
          <w:sz w:val="32"/>
          <w:szCs w:val="32"/>
        </w:rPr>
        <w:t>项目通过公开招投标的形式向社会发包。</w:t>
      </w:r>
    </w:p>
    <w:p>
      <w:pPr>
        <w:numPr>
          <w:ilvl w:val="0"/>
          <w:numId w:val="1"/>
        </w:numPr>
        <w:topLinePunct/>
        <w:ind w:firstLine="594" w:firstLineChars="200"/>
        <w:rPr>
          <w:rFonts w:hint="eastAsia" w:ascii="仿宋_GB2312"/>
          <w:szCs w:val="32"/>
        </w:rPr>
      </w:pPr>
      <w:r>
        <w:rPr>
          <w:rFonts w:hint="eastAsia" w:ascii="仿宋_GB2312"/>
          <w:szCs w:val="32"/>
        </w:rPr>
        <w:t>绩效目标设定及指标完成情况。</w:t>
      </w:r>
    </w:p>
    <w:p>
      <w:pPr>
        <w:numPr>
          <w:ilvl w:val="0"/>
          <w:numId w:val="0"/>
        </w:numPr>
        <w:topLinePunct/>
        <w:ind w:firstLine="593"/>
        <w:rPr>
          <w:rFonts w:hint="eastAsia" w:ascii="仿宋_GB2312"/>
          <w:szCs w:val="32"/>
          <w:lang w:val="en-US" w:eastAsia="zh-CN"/>
        </w:rPr>
      </w:pPr>
      <w:r>
        <w:rPr>
          <w:rFonts w:hint="eastAsia" w:ascii="仿宋_GB2312"/>
          <w:szCs w:val="32"/>
          <w:lang w:val="en-US" w:eastAsia="zh-CN"/>
        </w:rPr>
        <w:t>清扫保洁市场化运行项目实现呈贡区环境卫生作业市场化，实现呈贡区城市道路、社区道路、绿化带保洁工作市场化运行的全区域覆盖，提高呈贡区道路环境卫生质量水平，改善呈贡区居住环境。</w:t>
      </w:r>
    </w:p>
    <w:p>
      <w:pPr>
        <w:numPr>
          <w:ilvl w:val="0"/>
          <w:numId w:val="0"/>
        </w:numPr>
        <w:topLinePunct/>
        <w:ind w:firstLine="593"/>
        <w:rPr>
          <w:rFonts w:hint="default" w:ascii="仿宋_GB2312"/>
          <w:szCs w:val="32"/>
          <w:lang w:val="en-US" w:eastAsia="zh-CN"/>
        </w:rPr>
      </w:pPr>
      <w:r>
        <w:rPr>
          <w:rFonts w:hint="default" w:ascii="仿宋_GB2312"/>
          <w:szCs w:val="32"/>
          <w:lang w:val="en-US" w:eastAsia="zh-CN"/>
        </w:rPr>
        <w:t>垃圾清运市场化运行项目统一生活垃圾清运作业主体，并实现生活垃圾日产日清，改善呈贡区环境卫生质量水平。</w:t>
      </w:r>
    </w:p>
    <w:p>
      <w:pPr>
        <w:topLinePunct/>
        <w:ind w:firstLine="594" w:firstLineChars="200"/>
        <w:rPr>
          <w:rFonts w:hint="eastAsia" w:ascii="黑体" w:eastAsia="黑体"/>
          <w:szCs w:val="32"/>
        </w:rPr>
      </w:pPr>
      <w:r>
        <w:rPr>
          <w:rFonts w:hint="eastAsia" w:ascii="黑体" w:eastAsia="黑体"/>
          <w:szCs w:val="32"/>
        </w:rPr>
        <w:t>二、</w:t>
      </w:r>
      <w:r>
        <w:rPr>
          <w:rFonts w:hint="eastAsia" w:ascii="黑体" w:eastAsia="黑体"/>
          <w:szCs w:val="32"/>
          <w:lang w:eastAsia="zh-CN"/>
        </w:rPr>
        <w:t>项目资金使用及管理情况</w:t>
      </w:r>
    </w:p>
    <w:p>
      <w:pPr>
        <w:numPr>
          <w:ilvl w:val="0"/>
          <w:numId w:val="0"/>
        </w:numPr>
        <w:topLinePunct/>
        <w:ind w:firstLine="593"/>
        <w:rPr>
          <w:rFonts w:hint="eastAsia" w:ascii="仿宋_GB2312"/>
          <w:szCs w:val="32"/>
          <w:lang w:val="en-US" w:eastAsia="zh-CN"/>
        </w:rPr>
      </w:pPr>
      <w:r>
        <w:rPr>
          <w:rFonts w:hint="eastAsia" w:ascii="仿宋_GB2312"/>
          <w:szCs w:val="32"/>
          <w:lang w:val="en-US" w:eastAsia="zh-CN"/>
        </w:rPr>
        <w:t>2020年清扫保洁、垃圾清运市场化运行费用支出项目年初财政拨款3000万元，10月预算调增3456.54万元，资金到位率100%。2020年清扫保洁、垃圾清运市场化运行费用共计支出6456.528744万元，结余资金112.56元，财政资金使用率达100% 。</w:t>
      </w:r>
    </w:p>
    <w:p>
      <w:pPr>
        <w:numPr>
          <w:ilvl w:val="0"/>
          <w:numId w:val="0"/>
        </w:numPr>
        <w:topLinePunct/>
        <w:ind w:firstLine="593"/>
        <w:rPr>
          <w:rFonts w:hint="eastAsia" w:ascii="仿宋_GB2312"/>
          <w:szCs w:val="32"/>
          <w:lang w:val="en-US" w:eastAsia="zh-CN"/>
        </w:rPr>
      </w:pPr>
      <w:r>
        <w:rPr>
          <w:rFonts w:hint="eastAsia" w:ascii="仿宋_GB2312"/>
          <w:szCs w:val="32"/>
          <w:lang w:val="en-US" w:eastAsia="zh-CN"/>
        </w:rPr>
        <w:t>项目资金由区财政预算专项拨付，专款专用，在资金使用过程中，市政中心进一步加强财政资金支出项目的绩效监管，增强绩效考核管理兑现的严肃性、操作性和准确性，形成有效的激励与约束机制。</w:t>
      </w:r>
    </w:p>
    <w:p>
      <w:pPr>
        <w:topLinePunct/>
        <w:ind w:firstLine="594" w:firstLineChars="200"/>
        <w:rPr>
          <w:rFonts w:hint="eastAsia" w:ascii="黑体" w:eastAsia="黑体"/>
          <w:szCs w:val="32"/>
          <w:lang w:eastAsia="zh-CN"/>
        </w:rPr>
      </w:pPr>
      <w:r>
        <w:rPr>
          <w:rFonts w:hint="eastAsia" w:ascii="黑体" w:eastAsia="黑体"/>
          <w:szCs w:val="32"/>
          <w:lang w:eastAsia="zh-CN"/>
        </w:rPr>
        <w:t>三、项目组织实施情况</w:t>
      </w:r>
    </w:p>
    <w:p>
      <w:pPr>
        <w:keepNext w:val="0"/>
        <w:keepLines w:val="0"/>
        <w:pageBreakBefore w:val="0"/>
        <w:widowControl w:val="0"/>
        <w:numPr>
          <w:ilvl w:val="0"/>
          <w:numId w:val="0"/>
        </w:numPr>
        <w:kinsoku/>
        <w:wordWrap/>
        <w:overflowPunct/>
        <w:topLinePunct w:val="0"/>
        <w:autoSpaceDE/>
        <w:autoSpaceDN/>
        <w:bidi w:val="0"/>
        <w:spacing w:before="0" w:beforeLines="0" w:after="0" w:afterLines="0" w:line="560" w:lineRule="exact"/>
        <w:ind w:left="0" w:leftChars="0" w:right="0" w:rightChars="0" w:firstLine="593" w:firstLineChars="192"/>
        <w:jc w:val="both"/>
        <w:textAlignment w:val="auto"/>
        <w:outlineLvl w:val="9"/>
        <w:rPr>
          <w:rFonts w:hint="eastAsia" w:ascii="仿宋_GB2312" w:hAnsi="仿宋_GB2312" w:eastAsia="仿宋_GB2312" w:cs="Times New Roman"/>
          <w:b w:val="0"/>
          <w:spacing w:val="6"/>
          <w:kern w:val="2"/>
          <w:sz w:val="32"/>
          <w:szCs w:val="32"/>
          <w:lang w:val="en-US" w:eastAsia="zh-CN"/>
        </w:rPr>
      </w:pPr>
      <w:r>
        <w:rPr>
          <w:rFonts w:hint="eastAsia" w:ascii="仿宋_GB2312" w:hAnsi="仿宋_GB2312" w:cs="Times New Roman"/>
          <w:b w:val="0"/>
          <w:spacing w:val="6"/>
          <w:kern w:val="2"/>
          <w:sz w:val="32"/>
          <w:szCs w:val="32"/>
          <w:lang w:val="en-US" w:eastAsia="zh-CN"/>
        </w:rPr>
        <w:t>（1）</w:t>
      </w:r>
      <w:r>
        <w:rPr>
          <w:rFonts w:hint="eastAsia" w:ascii="仿宋_GB2312" w:hAnsi="仿宋_GB2312" w:eastAsia="仿宋_GB2312" w:cs="Times New Roman"/>
          <w:b w:val="0"/>
          <w:spacing w:val="6"/>
          <w:kern w:val="2"/>
          <w:sz w:val="32"/>
          <w:szCs w:val="32"/>
          <w:lang w:val="en-US" w:eastAsia="zh-CN"/>
        </w:rPr>
        <w:t>20</w:t>
      </w:r>
      <w:r>
        <w:rPr>
          <w:rFonts w:hint="eastAsia" w:ascii="仿宋_GB2312" w:hAnsi="仿宋_GB2312" w:cs="Times New Roman"/>
          <w:b w:val="0"/>
          <w:spacing w:val="6"/>
          <w:kern w:val="2"/>
          <w:sz w:val="32"/>
          <w:szCs w:val="32"/>
          <w:lang w:val="en-US" w:eastAsia="zh-CN"/>
        </w:rPr>
        <w:t>20</w:t>
      </w:r>
      <w:r>
        <w:rPr>
          <w:rFonts w:hint="eastAsia" w:ascii="仿宋_GB2312" w:hAnsi="仿宋_GB2312" w:eastAsia="仿宋_GB2312" w:cs="Times New Roman"/>
          <w:b w:val="0"/>
          <w:spacing w:val="6"/>
          <w:kern w:val="2"/>
          <w:sz w:val="32"/>
          <w:szCs w:val="32"/>
          <w:lang w:val="en-US" w:eastAsia="zh-CN"/>
        </w:rPr>
        <w:t>年，呈贡区继续运行第三轮环卫清扫保洁作业市场化外包项目，与中标的</w:t>
      </w:r>
      <w:r>
        <w:rPr>
          <w:rFonts w:hint="eastAsia" w:ascii="仿宋_GB2312" w:eastAsia="仿宋_GB2312"/>
          <w:sz w:val="32"/>
          <w:szCs w:val="32"/>
          <w:lang w:eastAsia="zh-CN"/>
        </w:rPr>
        <w:t>深圳市龙吉顺实业发展有限公司</w:t>
      </w:r>
      <w:r>
        <w:rPr>
          <w:rFonts w:hint="eastAsia" w:ascii="仿宋_GB2312"/>
          <w:sz w:val="32"/>
          <w:szCs w:val="32"/>
          <w:lang w:eastAsia="zh-CN"/>
        </w:rPr>
        <w:t>呈贡分公司</w:t>
      </w:r>
      <w:r>
        <w:rPr>
          <w:rFonts w:hint="eastAsia" w:ascii="仿宋_GB2312" w:eastAsia="仿宋_GB2312"/>
          <w:sz w:val="32"/>
          <w:szCs w:val="32"/>
          <w:lang w:eastAsia="zh-CN"/>
        </w:rPr>
        <w:t>、重庆赛通环卫有限公司</w:t>
      </w:r>
      <w:r>
        <w:rPr>
          <w:rFonts w:hint="eastAsia" w:ascii="仿宋_GB2312"/>
          <w:sz w:val="32"/>
          <w:szCs w:val="32"/>
          <w:lang w:eastAsia="zh-CN"/>
        </w:rPr>
        <w:t>呈贡分公司</w:t>
      </w:r>
      <w:r>
        <w:rPr>
          <w:rFonts w:hint="eastAsia" w:ascii="仿宋_GB2312" w:eastAsia="仿宋_GB2312"/>
          <w:sz w:val="32"/>
          <w:szCs w:val="32"/>
          <w:lang w:eastAsia="zh-CN"/>
        </w:rPr>
        <w:t>、深圳市洁亚</w:t>
      </w:r>
      <w:r>
        <w:rPr>
          <w:rFonts w:hint="eastAsia" w:ascii="仿宋_GB2312"/>
          <w:sz w:val="32"/>
          <w:szCs w:val="32"/>
          <w:lang w:eastAsia="zh-CN"/>
        </w:rPr>
        <w:t>环保产业</w:t>
      </w:r>
      <w:r>
        <w:rPr>
          <w:rFonts w:hint="eastAsia" w:ascii="仿宋_GB2312" w:eastAsia="仿宋_GB2312"/>
          <w:sz w:val="32"/>
          <w:szCs w:val="32"/>
          <w:lang w:eastAsia="zh-CN"/>
        </w:rPr>
        <w:t>有限公司</w:t>
      </w:r>
      <w:r>
        <w:rPr>
          <w:rFonts w:hint="eastAsia" w:ascii="仿宋_GB2312"/>
          <w:sz w:val="32"/>
          <w:szCs w:val="32"/>
          <w:lang w:eastAsia="zh-CN"/>
        </w:rPr>
        <w:t>呈贡分公司</w:t>
      </w:r>
      <w:r>
        <w:rPr>
          <w:rFonts w:hint="eastAsia" w:ascii="仿宋_GB2312" w:eastAsia="仿宋_GB2312"/>
          <w:sz w:val="32"/>
          <w:szCs w:val="32"/>
          <w:lang w:eastAsia="zh-CN"/>
        </w:rPr>
        <w:t>、</w:t>
      </w:r>
      <w:r>
        <w:rPr>
          <w:rFonts w:hint="eastAsia" w:ascii="仿宋_GB2312"/>
          <w:sz w:val="32"/>
          <w:szCs w:val="32"/>
          <w:lang w:eastAsia="zh-CN"/>
        </w:rPr>
        <w:t>北控</w:t>
      </w:r>
      <w:r>
        <w:rPr>
          <w:rFonts w:hint="eastAsia" w:ascii="仿宋_GB2312" w:eastAsia="仿宋_GB2312"/>
          <w:sz w:val="32"/>
          <w:szCs w:val="32"/>
          <w:lang w:eastAsia="zh-CN"/>
        </w:rPr>
        <w:t>滨南</w:t>
      </w:r>
      <w:r>
        <w:rPr>
          <w:rFonts w:hint="eastAsia" w:ascii="仿宋_GB2312"/>
          <w:sz w:val="32"/>
          <w:szCs w:val="32"/>
          <w:lang w:eastAsia="zh-CN"/>
        </w:rPr>
        <w:t>（重庆）</w:t>
      </w:r>
      <w:r>
        <w:rPr>
          <w:rFonts w:hint="eastAsia" w:ascii="仿宋_GB2312" w:eastAsia="仿宋_GB2312"/>
          <w:sz w:val="32"/>
          <w:szCs w:val="32"/>
          <w:lang w:eastAsia="zh-CN"/>
        </w:rPr>
        <w:t>城市综合服务股份有限公司</w:t>
      </w:r>
      <w:r>
        <w:rPr>
          <w:rFonts w:hint="eastAsia" w:ascii="仿宋_GB2312"/>
          <w:sz w:val="32"/>
          <w:szCs w:val="32"/>
          <w:lang w:eastAsia="zh-CN"/>
        </w:rPr>
        <w:t>呈贡分公司</w:t>
      </w:r>
      <w:r>
        <w:rPr>
          <w:rFonts w:hint="eastAsia" w:ascii="仿宋_GB2312" w:hAnsi="仿宋_GB2312" w:eastAsia="仿宋_GB2312" w:cs="Times New Roman"/>
          <w:b w:val="0"/>
          <w:spacing w:val="6"/>
          <w:kern w:val="2"/>
          <w:sz w:val="32"/>
          <w:szCs w:val="32"/>
          <w:lang w:val="en-US" w:eastAsia="zh-CN"/>
        </w:rPr>
        <w:t>签订城市道路清扫保洁市场化服务承包合同书，运行第三轮环卫作业市场化外包模式。合同期间呈贡区环卫清扫保洁作业由新中标的四家环卫保洁企业负责。作业内容为：1.标段范围内城市主次干道、背街小巷、桥梁、隧道、公共广场、开放式住宅小区和社区居委会住宅区等环境卫生；2.城市道路配套绿化的保洁；3.环卫基础设施、设备、果皮箱清掏、清洗，路灯杆基座起2米以下的清洗，社区垃圾收集作业；4.公共区域范围内的道路、墙角到墙角卫生死角清理，小广告清除同色覆盖；5.环卫应急事件处理等。</w:t>
      </w:r>
    </w:p>
    <w:p>
      <w:pPr>
        <w:keepNext w:val="0"/>
        <w:keepLines w:val="0"/>
        <w:pageBreakBefore w:val="0"/>
        <w:widowControl w:val="0"/>
        <w:kinsoku/>
        <w:wordWrap/>
        <w:overflowPunct/>
        <w:autoSpaceDE/>
        <w:autoSpaceDN/>
        <w:bidi w:val="0"/>
        <w:adjustRightInd w:val="0"/>
        <w:snapToGrid w:val="0"/>
        <w:spacing w:before="0" w:beforeLines="0" w:after="0" w:afterLines="0" w:line="560" w:lineRule="exact"/>
        <w:ind w:right="0" w:rightChars="0" w:firstLine="594" w:firstLineChars="200"/>
        <w:textAlignment w:val="auto"/>
        <w:rPr>
          <w:rFonts w:hint="eastAsia" w:ascii="仿宋_GB2312" w:hAnsi="仿宋_GB2312" w:eastAsia="仿宋_GB2312" w:cs="Times New Roman"/>
          <w:b w:val="0"/>
          <w:spacing w:val="6"/>
          <w:kern w:val="2"/>
          <w:sz w:val="32"/>
          <w:szCs w:val="32"/>
          <w:lang w:val="en-US" w:eastAsia="zh-CN"/>
        </w:rPr>
      </w:pPr>
      <w:r>
        <w:rPr>
          <w:rFonts w:hint="eastAsia" w:ascii="仿宋_GB2312" w:hAnsi="仿宋_GB2312"/>
          <w:sz w:val="32"/>
          <w:szCs w:val="32"/>
          <w:lang w:val="en-US" w:eastAsia="zh-CN"/>
        </w:rPr>
        <w:t>（2)2020</w:t>
      </w:r>
      <w:r>
        <w:rPr>
          <w:rFonts w:hint="eastAsia" w:ascii="仿宋_GB2312" w:hAnsi="仿宋_GB2312" w:eastAsia="仿宋_GB2312"/>
          <w:sz w:val="32"/>
          <w:szCs w:val="32"/>
          <w:lang w:val="en-US" w:eastAsia="zh-CN"/>
        </w:rPr>
        <w:t>年1月至12月，呈贡区</w:t>
      </w:r>
      <w:r>
        <w:rPr>
          <w:rFonts w:hint="eastAsia" w:ascii="仿宋_GB2312" w:eastAsia="仿宋_GB2312"/>
          <w:sz w:val="32"/>
          <w:szCs w:val="32"/>
          <w:lang w:eastAsia="zh-CN"/>
        </w:rPr>
        <w:t>（不含斗南社区、殷联社区）</w:t>
      </w:r>
      <w:r>
        <w:rPr>
          <w:rFonts w:hint="eastAsia" w:ascii="仿宋_GB2312" w:hAnsi="仿宋_GB2312" w:eastAsia="仿宋_GB2312"/>
          <w:sz w:val="32"/>
          <w:szCs w:val="32"/>
          <w:lang w:val="en-US" w:eastAsia="zh-CN"/>
        </w:rPr>
        <w:t>生活垃圾清运作业由心中标的云南博捷环境工程有限公司负责。服务内容为</w:t>
      </w:r>
      <w:r>
        <w:rPr>
          <w:rFonts w:hint="eastAsia" w:ascii="仿宋_GB2312" w:hAnsi="仿宋_GB2312"/>
          <w:sz w:val="32"/>
          <w:szCs w:val="32"/>
          <w:lang w:val="en-US" w:eastAsia="zh-CN"/>
        </w:rPr>
        <w:t>:</w:t>
      </w:r>
      <w:r>
        <w:rPr>
          <w:rFonts w:hint="eastAsia" w:ascii="仿宋" w:hAnsi="仿宋" w:eastAsia="仿宋" w:cs="仿宋_GB2312"/>
          <w:color w:val="auto"/>
          <w:kern w:val="0"/>
          <w:sz w:val="32"/>
          <w:szCs w:val="32"/>
          <w:highlight w:val="none"/>
          <w:lang w:val="en-US" w:eastAsia="zh-CN"/>
        </w:rPr>
        <w:t>(一）呈贡辖区内垃圾收集房、间、池、桶、生活垃圾分类设施（含垃圾分类亭、智能垃圾分类屋等）、集中分类收集点位等清运工作，结合呈贡区实际情况，先期移交龙城、斗南、乌龙、雨花、洛龙片区的垃圾清运，其他区域待条件成熟后逐步移交，乙方按照甲方要求及时组织人员接收各街道移交的作业区域及车辆，车辆设备租赁协议另行约定；(二）垃圾收集房、间、池、桶、生活垃圾分类设施（含垃圾分类亭、智能垃圾分类屋等）、集中分类收集点位等定期清洗、维修、管理，作业面小广告的清理；(三）垃圾运输车辆、垃圾中转站的运行、维修、管理、清洗；(四）上级部门安排的垃圾清运任务；(五）生活垃圾分类收集、储存、运输标准化作业，达到生活垃圾分类清运的频次和要求。</w:t>
      </w:r>
    </w:p>
    <w:p>
      <w:pPr>
        <w:keepNext w:val="0"/>
        <w:keepLines w:val="0"/>
        <w:pageBreakBefore w:val="0"/>
        <w:widowControl w:val="0"/>
        <w:numPr>
          <w:ilvl w:val="0"/>
          <w:numId w:val="0"/>
        </w:numPr>
        <w:kinsoku/>
        <w:wordWrap/>
        <w:overflowPunct/>
        <w:topLinePunct w:val="0"/>
        <w:autoSpaceDE/>
        <w:autoSpaceDN/>
        <w:bidi w:val="0"/>
        <w:spacing w:before="0" w:beforeLines="0" w:after="0" w:afterLines="0" w:line="560" w:lineRule="exact"/>
        <w:ind w:left="0" w:leftChars="0" w:right="0" w:rightChars="0" w:firstLine="593" w:firstLineChars="192"/>
        <w:jc w:val="both"/>
        <w:textAlignment w:val="auto"/>
        <w:outlineLvl w:val="9"/>
        <w:rPr>
          <w:rFonts w:hint="default" w:ascii="仿宋_GB2312" w:hAnsi="仿宋_GB2312" w:eastAsia="仿宋_GB2312" w:cs="Times New Roman"/>
          <w:b w:val="0"/>
          <w:spacing w:val="6"/>
          <w:kern w:val="2"/>
          <w:sz w:val="32"/>
          <w:szCs w:val="32"/>
          <w:lang w:val="en-US" w:eastAsia="zh-CN"/>
        </w:rPr>
      </w:pPr>
      <w:r>
        <w:rPr>
          <w:rFonts w:hint="eastAsia" w:ascii="仿宋_GB2312" w:hAnsi="仿宋_GB2312" w:cs="Times New Roman"/>
          <w:b w:val="0"/>
          <w:spacing w:val="6"/>
          <w:kern w:val="2"/>
          <w:sz w:val="32"/>
          <w:szCs w:val="32"/>
          <w:lang w:val="en-US" w:eastAsia="zh-CN"/>
        </w:rPr>
        <w:t>2.项目管理情况分析</w:t>
      </w:r>
    </w:p>
    <w:p>
      <w:pPr>
        <w:keepNext w:val="0"/>
        <w:keepLines w:val="0"/>
        <w:pageBreakBefore w:val="0"/>
        <w:widowControl w:val="0"/>
        <w:kinsoku/>
        <w:wordWrap/>
        <w:overflowPunct/>
        <w:topLinePunct w:val="0"/>
        <w:autoSpaceDE/>
        <w:autoSpaceDN/>
        <w:bidi w:val="0"/>
        <w:spacing w:before="0" w:beforeLines="0" w:after="0" w:afterLines="0" w:line="560" w:lineRule="exact"/>
        <w:ind w:right="0" w:rightChars="0" w:firstLine="59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为保证清扫保洁作业质量，</w:t>
      </w:r>
      <w:r>
        <w:rPr>
          <w:rFonts w:hint="eastAsia" w:ascii="仿宋_GB2312" w:hAnsi="仿宋_GB2312" w:cs="仿宋_GB2312"/>
          <w:sz w:val="32"/>
          <w:szCs w:val="32"/>
          <w:lang w:eastAsia="zh-CN"/>
        </w:rPr>
        <w:t>区城管</w:t>
      </w:r>
      <w:bookmarkStart w:id="0" w:name="_GoBack"/>
      <w:bookmarkEnd w:id="0"/>
      <w:r>
        <w:rPr>
          <w:rFonts w:hint="eastAsia" w:ascii="仿宋_GB2312" w:hAnsi="仿宋_GB2312" w:eastAsia="仿宋_GB2312" w:cs="仿宋_GB2312"/>
          <w:sz w:val="32"/>
          <w:szCs w:val="32"/>
        </w:rPr>
        <w:t>局制定了《呈贡区环境卫生清扫保洁市场化运作工作要求》和《呈贡区环境卫生清扫保洁市场化运作生产质量量化管理考核奖惩办法》，并将其作为呈贡区城市道路清扫保洁市场化服务项目承包合同书的附件，要求外包公司严格按照环卫作业规范进行作业。</w:t>
      </w:r>
    </w:p>
    <w:p>
      <w:pPr>
        <w:keepNext w:val="0"/>
        <w:keepLines w:val="0"/>
        <w:pageBreakBefore w:val="0"/>
        <w:widowControl w:val="0"/>
        <w:kinsoku/>
        <w:wordWrap/>
        <w:overflowPunct/>
        <w:autoSpaceDE/>
        <w:autoSpaceDN/>
        <w:bidi w:val="0"/>
        <w:adjustRightInd w:val="0"/>
        <w:snapToGrid w:val="0"/>
        <w:spacing w:before="0" w:beforeLines="0" w:after="0" w:afterLines="0" w:line="560" w:lineRule="exact"/>
        <w:ind w:left="0" w:leftChars="0" w:right="0" w:rightChars="0" w:firstLine="59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卫清扫保洁作业考核分为区级考核、街道考核和区数管办考核。采取明查与暗查相结合、突击检查与例行检查相结合、细致检查与全范围检查相结合、随机抽查路段与热点难点督促检查等方式，以日巡查、周考核，月评分相结合的方法，进行检查考核评分。日检查由区城管局、各街道办事处安排人员每日进行巡查；周检查由城管局、街道办事处组织相关人员对外包公司保洁工作进行全面检查，对承担呈贡区市政道路清扫保洁的</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家环卫外包公司的环卫作业情况进行考核，并填写《呈贡区市容环境卫生量化考核表》,核算本周考核分数，指出其在工作中存在的问题，督促其限期整改。区城管局和街道以周考核的平均分作为月考核分数。区城管局考核分值占80%，街道占20%，核算本月考核分数。区数管办按管理范围和职责每天派发立案案件到</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家环卫外包公司处理结案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autoSpaceDE/>
        <w:autoSpaceDN/>
        <w:bidi w:val="0"/>
        <w:spacing w:before="0" w:beforeLines="0" w:after="0" w:afterLines="0" w:line="560" w:lineRule="exact"/>
        <w:ind w:left="0" w:leftChars="0" w:right="0" w:rightChars="0" w:firstLine="618" w:firstLineChars="200"/>
        <w:jc w:val="both"/>
        <w:textAlignment w:val="auto"/>
        <w:rPr>
          <w:rFonts w:hint="eastAsia" w:ascii="仿宋_GB2312" w:hAnsi="仿宋_GB2312" w:eastAsia="仿宋_GB2312" w:cs="Times New Roman"/>
          <w:b w:val="0"/>
          <w:spacing w:val="6"/>
          <w:kern w:val="2"/>
          <w:sz w:val="32"/>
          <w:szCs w:val="32"/>
          <w:lang w:val="en-US" w:eastAsia="zh-CN"/>
        </w:rPr>
      </w:pPr>
      <w:r>
        <w:rPr>
          <w:rFonts w:hint="eastAsia" w:ascii="仿宋_GB2312" w:hAnsi="仿宋_GB2312" w:eastAsia="仿宋_GB2312" w:cs="Times New Roman"/>
          <w:b w:val="0"/>
          <w:spacing w:val="6"/>
          <w:kern w:val="2"/>
          <w:sz w:val="32"/>
          <w:szCs w:val="32"/>
          <w:lang w:val="en-US" w:eastAsia="zh-CN"/>
        </w:rPr>
        <w:t>区城管局办公会议每月月初根据上个月考核分数研究拨付上个月清扫保洁经费。</w:t>
      </w:r>
    </w:p>
    <w:p>
      <w:pPr>
        <w:keepNext w:val="0"/>
        <w:keepLines w:val="0"/>
        <w:pageBreakBefore w:val="0"/>
        <w:widowControl w:val="0"/>
        <w:kinsoku/>
        <w:wordWrap/>
        <w:overflowPunct/>
        <w:autoSpaceDE/>
        <w:autoSpaceDN/>
        <w:bidi w:val="0"/>
        <w:spacing w:before="0" w:beforeLines="0" w:after="0" w:afterLines="0" w:line="560" w:lineRule="exact"/>
        <w:ind w:left="0" w:leftChars="0" w:right="0" w:rightChars="0" w:firstLine="618" w:firstLineChars="200"/>
        <w:textAlignment w:val="auto"/>
        <w:rPr>
          <w:rFonts w:hint="eastAsia" w:ascii="仿宋_GB2312" w:hAnsi="仿宋_GB2312" w:eastAsia="仿宋_GB2312" w:cs="仿宋_GB2312"/>
          <w:sz w:val="32"/>
          <w:szCs w:val="32"/>
        </w:rPr>
      </w:pPr>
      <w:r>
        <w:rPr>
          <w:rFonts w:hint="eastAsia" w:ascii="仿宋_GB2312" w:hAnsi="仿宋_GB2312" w:cs="Times New Roman"/>
          <w:b w:val="0"/>
          <w:spacing w:val="6"/>
          <w:kern w:val="2"/>
          <w:sz w:val="32"/>
          <w:szCs w:val="32"/>
          <w:lang w:val="en-US" w:eastAsia="zh-CN"/>
        </w:rPr>
        <w:t>（2）</w:t>
      </w:r>
      <w:r>
        <w:rPr>
          <w:rFonts w:hint="eastAsia" w:ascii="仿宋_GB2312" w:hAnsi="仿宋_GB2312" w:eastAsia="仿宋_GB2312" w:cs="仿宋_GB2312"/>
          <w:sz w:val="32"/>
          <w:szCs w:val="32"/>
        </w:rPr>
        <w:t>区城管局结合呈贡区垃圾清运作业实际，制定了《呈贡区生活垃圾清运市场化运作质量量化管理考核办法》，作为生活垃圾清运考核管理办法。垃圾清运市场化外包作业由区城管局负责考核。实行日巡查、周考核、月评分的考核机制，每周由考核人员填写《呈贡区生活垃圾清运市场化运作质量量化考核表》，我局按每月四周考核的平均分作为月考核分值。</w:t>
      </w:r>
    </w:p>
    <w:p>
      <w:pPr>
        <w:topLinePunct/>
        <w:ind w:firstLine="594" w:firstLineChars="200"/>
        <w:rPr>
          <w:rFonts w:hint="eastAsia" w:ascii="仿宋_GB2312" w:hAnsi="仿宋_GB2312" w:eastAsia="仿宋_GB2312" w:cs="Times New Roman"/>
          <w:b w:val="0"/>
          <w:spacing w:val="6"/>
          <w:kern w:val="2"/>
          <w:sz w:val="32"/>
          <w:szCs w:val="32"/>
          <w:lang w:val="en-US" w:eastAsia="zh-CN"/>
        </w:rPr>
      </w:pPr>
      <w:r>
        <w:rPr>
          <w:rFonts w:hint="eastAsia" w:ascii="仿宋_GB2312"/>
          <w:szCs w:val="32"/>
          <w:lang w:val="en-US" w:eastAsia="zh-CN"/>
        </w:rPr>
        <w:t>市政中心</w:t>
      </w:r>
      <w:r>
        <w:rPr>
          <w:rFonts w:hint="eastAsia" w:ascii="仿宋_GB2312" w:hAnsi="仿宋_GB2312" w:eastAsia="仿宋_GB2312" w:cs="Times New Roman"/>
          <w:b w:val="0"/>
          <w:spacing w:val="6"/>
          <w:kern w:val="2"/>
          <w:sz w:val="32"/>
          <w:szCs w:val="32"/>
          <w:lang w:val="en-US" w:eastAsia="zh-CN"/>
        </w:rPr>
        <w:t>按照《呈贡区生活垃圾清运市场化运作质量量化管理考核办法》对博捷公司生活垃圾清运作业进行考核，并按垃圾清运量和考核结果拨付垃圾清运费。</w:t>
      </w:r>
    </w:p>
    <w:p>
      <w:pPr>
        <w:topLinePunct/>
        <w:ind w:firstLine="594" w:firstLineChars="200"/>
        <w:rPr>
          <w:rFonts w:ascii="黑体" w:eastAsia="黑体"/>
          <w:szCs w:val="32"/>
        </w:rPr>
      </w:pPr>
      <w:r>
        <w:rPr>
          <w:rFonts w:hint="eastAsia" w:ascii="黑体" w:eastAsia="黑体"/>
          <w:szCs w:val="32"/>
          <w:lang w:eastAsia="zh-CN"/>
        </w:rPr>
        <w:t>四</w:t>
      </w:r>
      <w:r>
        <w:rPr>
          <w:rFonts w:hint="eastAsia" w:ascii="黑体" w:eastAsia="黑体"/>
          <w:szCs w:val="32"/>
        </w:rPr>
        <w:t>、项目绩效情况</w:t>
      </w:r>
    </w:p>
    <w:p>
      <w:pPr>
        <w:pStyle w:val="4"/>
        <w:keepNext w:val="0"/>
        <w:keepLines w:val="0"/>
        <w:pageBreakBefore w:val="0"/>
        <w:widowControl w:val="0"/>
        <w:kinsoku/>
        <w:wordWrap/>
        <w:overflowPunct/>
        <w:autoSpaceDE/>
        <w:autoSpaceDN/>
        <w:bidi w:val="0"/>
        <w:spacing w:before="0" w:beforeLines="0" w:after="0" w:afterLines="0" w:line="560" w:lineRule="exact"/>
        <w:ind w:left="0" w:leftChars="0" w:right="0" w:rightChars="0" w:firstLineChars="0"/>
        <w:textAlignment w:val="auto"/>
        <w:rPr>
          <w:rFonts w:hint="eastAsia" w:ascii="仿宋_GB2312" w:hAnsi="仿宋_GB2312" w:eastAsia="仿宋_GB2312" w:cs="Times New Roman"/>
          <w:b w:val="0"/>
          <w:sz w:val="32"/>
          <w:szCs w:val="32"/>
        </w:rPr>
      </w:pPr>
      <w:r>
        <w:rPr>
          <w:rFonts w:hint="eastAsia" w:ascii="仿宋_GB2312" w:hAnsi="仿宋_GB2312" w:eastAsia="仿宋_GB2312" w:cs="Times New Roman"/>
          <w:b w:val="0"/>
          <w:sz w:val="32"/>
          <w:szCs w:val="32"/>
          <w:lang w:eastAsia="zh-CN"/>
        </w:rPr>
        <w:t>（一）项目</w:t>
      </w:r>
      <w:r>
        <w:rPr>
          <w:rFonts w:hint="eastAsia" w:ascii="仿宋_GB2312" w:hAnsi="仿宋_GB2312" w:eastAsia="仿宋_GB2312" w:cs="Times New Roman"/>
          <w:b w:val="0"/>
          <w:sz w:val="32"/>
          <w:szCs w:val="32"/>
        </w:rPr>
        <w:t>经济性分析</w:t>
      </w:r>
    </w:p>
    <w:p>
      <w:pPr>
        <w:pStyle w:val="4"/>
        <w:keepNext w:val="0"/>
        <w:keepLines w:val="0"/>
        <w:pageBreakBefore w:val="0"/>
        <w:widowControl w:val="0"/>
        <w:kinsoku/>
        <w:wordWrap/>
        <w:overflowPunct/>
        <w:autoSpaceDE/>
        <w:autoSpaceDN/>
        <w:bidi w:val="0"/>
        <w:spacing w:before="0" w:beforeLines="0" w:after="0" w:afterLines="0" w:line="560" w:lineRule="exact"/>
        <w:ind w:left="0" w:leftChars="0" w:right="0" w:rightChars="0" w:firstLineChars="0"/>
        <w:textAlignment w:val="auto"/>
        <w:rPr>
          <w:rFonts w:hint="eastAsia" w:ascii="仿宋_GB2312" w:hAnsi="仿宋_GB2312" w:eastAsia="仿宋_GB2312" w:cs="Times New Roman"/>
          <w:b w:val="0"/>
          <w:sz w:val="32"/>
          <w:szCs w:val="32"/>
        </w:rPr>
      </w:pPr>
      <w:r>
        <w:rPr>
          <w:rFonts w:hint="eastAsia" w:ascii="仿宋_GB2312" w:hAnsi="仿宋_GB2312" w:eastAsia="仿宋_GB2312" w:cs="Times New Roman"/>
          <w:b w:val="0"/>
          <w:sz w:val="32"/>
          <w:szCs w:val="32"/>
        </w:rPr>
        <w:t>全面贯彻落实“全面覆盖、长效管理、不留死角、永久保洁”的长效机制，以城乡环境卫生综合整治为抓手，加快推进环卫体制机制调整工作，强化环卫保洁服务的市场化运作，</w:t>
      </w:r>
      <w:r>
        <w:rPr>
          <w:rFonts w:hint="eastAsia" w:ascii="仿宋_GB2312" w:hAnsi="仿宋_GB2312" w:eastAsia="仿宋_GB2312" w:cs="Times New Roman"/>
          <w:b w:val="0"/>
          <w:sz w:val="32"/>
          <w:szCs w:val="32"/>
          <w:lang w:eastAsia="zh-CN"/>
        </w:rPr>
        <w:t>呈贡区</w:t>
      </w:r>
      <w:r>
        <w:rPr>
          <w:rFonts w:hint="eastAsia" w:ascii="仿宋_GB2312" w:hAnsi="仿宋_GB2312" w:eastAsia="仿宋_GB2312" w:cs="Times New Roman"/>
          <w:b w:val="0"/>
          <w:sz w:val="32"/>
          <w:szCs w:val="32"/>
        </w:rPr>
        <w:t>清扫保洁单价在</w:t>
      </w:r>
      <w:r>
        <w:rPr>
          <w:rFonts w:hint="eastAsia" w:ascii="仿宋_GB2312" w:hAnsi="仿宋_GB2312" w:eastAsia="仿宋_GB2312" w:cs="Times New Roman"/>
          <w:b w:val="0"/>
          <w:sz w:val="32"/>
          <w:szCs w:val="32"/>
          <w:lang w:eastAsia="zh-CN"/>
        </w:rPr>
        <w:t>昆明市主城</w:t>
      </w:r>
      <w:r>
        <w:rPr>
          <w:rFonts w:hint="eastAsia" w:ascii="仿宋_GB2312" w:hAnsi="仿宋_GB2312" w:eastAsia="仿宋_GB2312" w:cs="Times New Roman"/>
          <w:b w:val="0"/>
          <w:sz w:val="32"/>
          <w:szCs w:val="32"/>
        </w:rPr>
        <w:t>中处于较低水平，成本均控制在预算内。</w:t>
      </w:r>
    </w:p>
    <w:p>
      <w:pPr>
        <w:pStyle w:val="4"/>
        <w:keepNext w:val="0"/>
        <w:keepLines w:val="0"/>
        <w:pageBreakBefore w:val="0"/>
        <w:widowControl w:val="0"/>
        <w:kinsoku/>
        <w:wordWrap/>
        <w:overflowPunct/>
        <w:autoSpaceDE/>
        <w:autoSpaceDN/>
        <w:bidi w:val="0"/>
        <w:spacing w:before="0" w:beforeLines="0" w:after="0" w:afterLines="0" w:line="560" w:lineRule="exact"/>
        <w:ind w:left="0" w:leftChars="0" w:right="0" w:rightChars="0" w:firstLine="0" w:firstLineChars="0"/>
        <w:textAlignment w:val="auto"/>
        <w:rPr>
          <w:rFonts w:hint="eastAsia" w:ascii="仿宋_GB2312" w:hAnsi="仿宋_GB2312" w:eastAsia="仿宋_GB2312" w:cs="Times New Roman"/>
          <w:b w:val="0"/>
          <w:sz w:val="32"/>
          <w:szCs w:val="32"/>
        </w:rPr>
      </w:pPr>
      <w:r>
        <w:rPr>
          <w:rFonts w:hint="eastAsia" w:ascii="仿宋_GB2312" w:hAnsi="仿宋_GB2312" w:eastAsia="仿宋_GB2312" w:cs="Times New Roman"/>
          <w:b w:val="0"/>
          <w:sz w:val="32"/>
          <w:szCs w:val="32"/>
          <w:lang w:val="en-US" w:eastAsia="zh-CN"/>
        </w:rPr>
        <w:t xml:space="preserve">   </w:t>
      </w:r>
      <w:r>
        <w:rPr>
          <w:rFonts w:hint="eastAsia" w:ascii="仿宋_GB2312" w:hAnsi="仿宋_GB2312" w:eastAsia="仿宋_GB2312" w:cs="Times New Roman"/>
          <w:b w:val="0"/>
          <w:sz w:val="32"/>
          <w:szCs w:val="32"/>
          <w:lang w:eastAsia="zh-CN"/>
        </w:rPr>
        <w:t>（二）项目</w:t>
      </w:r>
      <w:r>
        <w:rPr>
          <w:rFonts w:hint="eastAsia" w:ascii="仿宋_GB2312" w:hAnsi="仿宋_GB2312" w:eastAsia="仿宋_GB2312" w:cs="Times New Roman"/>
          <w:b w:val="0"/>
          <w:sz w:val="32"/>
          <w:szCs w:val="32"/>
        </w:rPr>
        <w:t>效</w:t>
      </w:r>
      <w:r>
        <w:rPr>
          <w:rFonts w:hint="eastAsia" w:ascii="仿宋_GB2312" w:hAnsi="仿宋_GB2312" w:eastAsia="仿宋_GB2312" w:cs="Times New Roman"/>
          <w:b w:val="0"/>
          <w:sz w:val="32"/>
          <w:szCs w:val="32"/>
          <w:lang w:eastAsia="zh-CN"/>
        </w:rPr>
        <w:t>率</w:t>
      </w:r>
      <w:r>
        <w:rPr>
          <w:rFonts w:hint="eastAsia" w:ascii="仿宋_GB2312" w:hAnsi="仿宋_GB2312" w:eastAsia="仿宋_GB2312" w:cs="Times New Roman"/>
          <w:b w:val="0"/>
          <w:sz w:val="32"/>
          <w:szCs w:val="32"/>
        </w:rPr>
        <w:t>性分析</w:t>
      </w:r>
    </w:p>
    <w:p>
      <w:pPr>
        <w:pStyle w:val="4"/>
        <w:keepNext w:val="0"/>
        <w:keepLines w:val="0"/>
        <w:pageBreakBefore w:val="0"/>
        <w:widowControl w:val="0"/>
        <w:kinsoku/>
        <w:wordWrap/>
        <w:overflowPunct/>
        <w:autoSpaceDE/>
        <w:autoSpaceDN/>
        <w:bidi w:val="0"/>
        <w:spacing w:before="0" w:beforeLines="0" w:after="0" w:afterLines="0" w:line="560" w:lineRule="exact"/>
        <w:ind w:left="0" w:leftChars="0" w:right="0" w:rightChars="0" w:firstLine="618" w:firstLineChars="200"/>
        <w:textAlignment w:val="auto"/>
        <w:rPr>
          <w:rFonts w:hint="eastAsia" w:ascii="仿宋_GB2312" w:hAnsi="仿宋_GB2312" w:eastAsia="仿宋_GB2312" w:cs="Times New Roman"/>
          <w:b w:val="0"/>
          <w:sz w:val="32"/>
          <w:szCs w:val="32"/>
          <w:lang w:val="en-US" w:eastAsia="zh-CN"/>
        </w:rPr>
      </w:pPr>
      <w:r>
        <w:rPr>
          <w:rFonts w:hint="eastAsia" w:ascii="仿宋_GB2312" w:hAnsi="仿宋_GB2312" w:eastAsia="仿宋_GB2312" w:cs="Times New Roman"/>
          <w:b w:val="0"/>
          <w:sz w:val="32"/>
          <w:szCs w:val="32"/>
          <w:lang w:val="en-US" w:eastAsia="zh-CN"/>
        </w:rPr>
        <w:t xml:space="preserve">2020年，呈贡区各环卫外包公司均能按照作业规范开展清扫保洁作业，月考核分数在80分以下,每低1分扣除当月承包服务费1万元；月考核平均分值高于90分，每超过1分奖励1万元。被媒体曝光扣除外包公司2万元作为违约金。奖惩并用的机制，利于全区环卫作业质量能达到良好标准。   </w:t>
      </w:r>
    </w:p>
    <w:p>
      <w:pPr>
        <w:pStyle w:val="4"/>
        <w:keepNext w:val="0"/>
        <w:keepLines w:val="0"/>
        <w:pageBreakBefore w:val="0"/>
        <w:widowControl w:val="0"/>
        <w:kinsoku/>
        <w:wordWrap/>
        <w:overflowPunct/>
        <w:autoSpaceDE/>
        <w:autoSpaceDN/>
        <w:bidi w:val="0"/>
        <w:spacing w:before="0" w:beforeLines="0" w:after="0" w:afterLines="0" w:line="560" w:lineRule="exact"/>
        <w:ind w:left="0" w:leftChars="0" w:right="0" w:rightChars="0" w:firstLine="618" w:firstLineChars="200"/>
        <w:textAlignment w:val="auto"/>
        <w:rPr>
          <w:rFonts w:hint="eastAsia" w:ascii="仿宋_GB2312" w:hAnsi="仿宋_GB2312" w:eastAsia="仿宋_GB2312" w:cs="Times New Roman"/>
          <w:b w:val="0"/>
          <w:sz w:val="32"/>
          <w:szCs w:val="32"/>
          <w:lang w:eastAsia="zh-CN"/>
        </w:rPr>
      </w:pPr>
      <w:r>
        <w:rPr>
          <w:rFonts w:hint="eastAsia" w:ascii="仿宋_GB2312" w:hAnsi="仿宋_GB2312" w:eastAsia="仿宋_GB2312" w:cs="Times New Roman"/>
          <w:b w:val="0"/>
          <w:sz w:val="32"/>
          <w:szCs w:val="32"/>
          <w:lang w:eastAsia="zh-CN"/>
        </w:rPr>
        <w:t>（三）项目有效性分析</w:t>
      </w:r>
    </w:p>
    <w:p>
      <w:pPr>
        <w:pStyle w:val="4"/>
        <w:keepNext w:val="0"/>
        <w:keepLines w:val="0"/>
        <w:pageBreakBefore w:val="0"/>
        <w:widowControl w:val="0"/>
        <w:kinsoku/>
        <w:wordWrap/>
        <w:overflowPunct/>
        <w:autoSpaceDE/>
        <w:autoSpaceDN/>
        <w:bidi w:val="0"/>
        <w:spacing w:before="0" w:beforeLines="0" w:after="0" w:afterLines="0" w:line="560" w:lineRule="exact"/>
        <w:ind w:left="0" w:leftChars="0" w:right="0" w:rightChars="0" w:firstLineChars="0"/>
        <w:textAlignment w:val="auto"/>
        <w:rPr>
          <w:rFonts w:hint="eastAsia" w:ascii="仿宋_GB2312" w:hAnsi="仿宋_GB2312" w:eastAsia="仿宋_GB2312" w:cs="Times New Roman"/>
          <w:b w:val="0"/>
          <w:sz w:val="32"/>
          <w:szCs w:val="32"/>
        </w:rPr>
      </w:pPr>
      <w:r>
        <w:rPr>
          <w:rFonts w:hint="eastAsia" w:ascii="仿宋_GB2312" w:hAnsi="仿宋_GB2312" w:eastAsia="仿宋_GB2312" w:cs="Times New Roman"/>
          <w:b w:val="0"/>
          <w:sz w:val="32"/>
          <w:szCs w:val="32"/>
          <w:lang w:eastAsia="zh-CN"/>
        </w:rPr>
        <w:t>区</w:t>
      </w:r>
      <w:r>
        <w:rPr>
          <w:rFonts w:hint="eastAsia" w:ascii="仿宋_GB2312" w:hAnsi="仿宋_GB2312" w:eastAsia="仿宋_GB2312" w:cs="Times New Roman"/>
          <w:b w:val="0"/>
          <w:sz w:val="32"/>
          <w:szCs w:val="32"/>
        </w:rPr>
        <w:t>城管局根据《昆明市人民政府关于进一步加强环境卫生工作提升城市清洁水平的意见》（昆政发〔2009〕68号）文件规定的清扫保洁指导价格，推进保洁服务市场化运作，通过招投标引入多家保洁公司，实行清扫保洁服务外包。</w:t>
      </w:r>
      <w:r>
        <w:rPr>
          <w:rFonts w:hint="eastAsia" w:ascii="仿宋_GB2312" w:hAnsi="仿宋_GB2312" w:eastAsia="仿宋_GB2312" w:cs="Times New Roman"/>
          <w:b w:val="0"/>
          <w:sz w:val="32"/>
          <w:szCs w:val="32"/>
          <w:lang w:eastAsia="zh-CN"/>
        </w:rPr>
        <w:t>我局</w:t>
      </w:r>
      <w:r>
        <w:rPr>
          <w:rFonts w:hint="eastAsia" w:ascii="仿宋_GB2312" w:hAnsi="仿宋_GB2312" w:eastAsia="仿宋_GB2312" w:cs="Times New Roman"/>
          <w:b w:val="0"/>
          <w:sz w:val="32"/>
          <w:szCs w:val="32"/>
        </w:rPr>
        <w:t>按招标程序引入服务外包单位，签订保洁服务合同，服务成本均控制在指导价格内，保证了项目成本能有效控制在预算范围内。</w:t>
      </w:r>
    </w:p>
    <w:p>
      <w:pPr>
        <w:pStyle w:val="4"/>
        <w:keepNext w:val="0"/>
        <w:keepLines w:val="0"/>
        <w:pageBreakBefore w:val="0"/>
        <w:widowControl w:val="0"/>
        <w:kinsoku/>
        <w:wordWrap/>
        <w:overflowPunct/>
        <w:autoSpaceDE/>
        <w:autoSpaceDN/>
        <w:bidi w:val="0"/>
        <w:spacing w:before="0" w:beforeLines="0" w:after="0" w:afterLines="0" w:line="560" w:lineRule="exact"/>
        <w:ind w:left="0" w:leftChars="0" w:right="0" w:rightChars="0" w:firstLineChars="0"/>
        <w:textAlignment w:val="auto"/>
        <w:rPr>
          <w:rFonts w:hint="eastAsia" w:ascii="仿宋_GB2312" w:hAnsi="仿宋_GB2312" w:eastAsia="仿宋_GB2312" w:cs="Times New Roman"/>
          <w:b w:val="0"/>
          <w:sz w:val="32"/>
          <w:szCs w:val="32"/>
        </w:rPr>
      </w:pPr>
      <w:r>
        <w:rPr>
          <w:rFonts w:hint="eastAsia" w:ascii="仿宋_GB2312" w:hAnsi="仿宋_GB2312" w:eastAsia="仿宋_GB2312" w:cs="Times New Roman"/>
          <w:b w:val="0"/>
          <w:sz w:val="32"/>
          <w:szCs w:val="32"/>
        </w:rPr>
        <w:t>项目的实施，改善了我</w:t>
      </w:r>
      <w:r>
        <w:rPr>
          <w:rFonts w:hint="eastAsia" w:ascii="仿宋_GB2312" w:hAnsi="仿宋_GB2312" w:eastAsia="仿宋_GB2312" w:cs="Times New Roman"/>
          <w:b w:val="0"/>
          <w:sz w:val="32"/>
          <w:szCs w:val="32"/>
          <w:lang w:eastAsia="zh-CN"/>
        </w:rPr>
        <w:t>区</w:t>
      </w:r>
      <w:r>
        <w:rPr>
          <w:rFonts w:hint="eastAsia" w:ascii="仿宋_GB2312" w:hAnsi="仿宋_GB2312" w:eastAsia="仿宋_GB2312" w:cs="Times New Roman"/>
          <w:b w:val="0"/>
          <w:sz w:val="32"/>
          <w:szCs w:val="32"/>
        </w:rPr>
        <w:t>城乡清洁水平，为广大市民提供了更好的宜居生活环境，扩大了我</w:t>
      </w:r>
      <w:r>
        <w:rPr>
          <w:rFonts w:hint="eastAsia" w:ascii="仿宋_GB2312" w:hAnsi="仿宋_GB2312" w:eastAsia="仿宋_GB2312" w:cs="Times New Roman"/>
          <w:b w:val="0"/>
          <w:sz w:val="32"/>
          <w:szCs w:val="32"/>
          <w:lang w:eastAsia="zh-CN"/>
        </w:rPr>
        <w:t>区</w:t>
      </w:r>
      <w:r>
        <w:rPr>
          <w:rFonts w:hint="eastAsia" w:ascii="仿宋_GB2312" w:hAnsi="仿宋_GB2312" w:eastAsia="仿宋_GB2312" w:cs="Times New Roman"/>
          <w:b w:val="0"/>
          <w:sz w:val="32"/>
          <w:szCs w:val="32"/>
        </w:rPr>
        <w:t>对外宣传的实体效应，清扫保洁服务的市场化运作引入了竞争机制，成为控制清扫保洁成本的有效手段，同时增加了社会就业岗位，取得了一定的环境、社会和经济效益。</w:t>
      </w:r>
    </w:p>
    <w:p>
      <w:pPr>
        <w:pStyle w:val="4"/>
        <w:keepNext w:val="0"/>
        <w:keepLines w:val="0"/>
        <w:pageBreakBefore w:val="0"/>
        <w:widowControl w:val="0"/>
        <w:kinsoku/>
        <w:wordWrap/>
        <w:overflowPunct/>
        <w:autoSpaceDE/>
        <w:autoSpaceDN/>
        <w:bidi w:val="0"/>
        <w:spacing w:before="0" w:beforeLines="0" w:after="0" w:afterLines="0" w:line="560" w:lineRule="exact"/>
        <w:ind w:left="0" w:leftChars="0" w:right="0" w:rightChars="0" w:firstLineChars="0"/>
        <w:textAlignment w:val="auto"/>
        <w:rPr>
          <w:rFonts w:hint="eastAsia" w:ascii="仿宋_GB2312" w:hAnsi="仿宋_GB2312" w:eastAsia="仿宋_GB2312" w:cs="Times New Roman"/>
          <w:b w:val="0"/>
          <w:sz w:val="32"/>
          <w:szCs w:val="32"/>
        </w:rPr>
      </w:pPr>
      <w:r>
        <w:rPr>
          <w:rFonts w:hint="eastAsia" w:ascii="仿宋_GB2312" w:hAnsi="仿宋_GB2312" w:eastAsia="仿宋_GB2312" w:cs="Times New Roman"/>
          <w:b w:val="0"/>
          <w:sz w:val="32"/>
          <w:szCs w:val="32"/>
        </w:rPr>
        <w:t>清扫保洁服务外包每年能提供</w:t>
      </w:r>
      <w:r>
        <w:rPr>
          <w:rFonts w:hint="eastAsia" w:ascii="仿宋_GB2312" w:hAnsi="仿宋_GB2312" w:eastAsia="仿宋_GB2312" w:cs="Times New Roman"/>
          <w:b w:val="0"/>
          <w:sz w:val="32"/>
          <w:szCs w:val="32"/>
          <w:lang w:val="en-US" w:eastAsia="zh-CN"/>
        </w:rPr>
        <w:t>1000</w:t>
      </w:r>
      <w:r>
        <w:rPr>
          <w:rFonts w:hint="eastAsia" w:ascii="仿宋_GB2312" w:hAnsi="仿宋_GB2312" w:eastAsia="仿宋_GB2312" w:cs="Times New Roman"/>
          <w:b w:val="0"/>
          <w:sz w:val="32"/>
          <w:szCs w:val="32"/>
        </w:rPr>
        <w:t>多个就业岗位，随着城市化建设的推进，城市清洁水平不断提高，尽管机械化清扫率在逐渐上调，但铁路（公路）沿线、城乡结合部、河道等卫生攻坚区域仍需投入大量保洁人员，保洁岗位的需求仍会持续增加，提供的就业岗位对社会和治安的稳定起到一定作用。</w:t>
      </w:r>
    </w:p>
    <w:p>
      <w:pPr>
        <w:keepNext w:val="0"/>
        <w:keepLines w:val="0"/>
        <w:pageBreakBefore w:val="0"/>
        <w:widowControl w:val="0"/>
        <w:kinsoku/>
        <w:wordWrap/>
        <w:overflowPunct/>
        <w:topLinePunct/>
        <w:autoSpaceDE/>
        <w:autoSpaceDN/>
        <w:bidi w:val="0"/>
        <w:spacing w:before="0" w:beforeLines="0" w:after="0" w:afterLines="0" w:line="560" w:lineRule="exact"/>
        <w:ind w:left="0" w:leftChars="0" w:right="0" w:rightChars="0" w:firstLine="594" w:firstLineChars="200"/>
        <w:textAlignment w:val="auto"/>
        <w:rPr>
          <w:rFonts w:hint="eastAsia" w:ascii="仿宋_GB2312" w:hAnsi="仿宋_GB2312" w:eastAsia="仿宋_GB2312" w:cs="宋体"/>
          <w:kern w:val="0"/>
          <w:sz w:val="32"/>
          <w:szCs w:val="24"/>
          <w:lang w:eastAsia="zh-CN"/>
        </w:rPr>
      </w:pPr>
      <w:r>
        <w:rPr>
          <w:rFonts w:hint="eastAsia" w:ascii="仿宋_GB2312" w:hAnsi="仿宋_GB2312" w:eastAsia="仿宋_GB2312" w:cs="宋体"/>
          <w:kern w:val="0"/>
          <w:sz w:val="32"/>
          <w:szCs w:val="24"/>
          <w:lang w:eastAsia="zh-CN"/>
        </w:rPr>
        <w:t>呈贡区环卫清扫保洁作业市场化运行在高效运行环卫清扫保洁、垃圾清运工作的同时，节约了环卫</w:t>
      </w:r>
      <w:r>
        <w:rPr>
          <w:rFonts w:hint="eastAsia" w:ascii="仿宋_GB2312" w:hAnsi="仿宋_GB2312" w:eastAsia="仿宋_GB2312" w:cs="宋体"/>
          <w:kern w:val="0"/>
          <w:sz w:val="32"/>
          <w:lang w:eastAsia="zh-CN"/>
        </w:rPr>
        <w:t>管理成本</w:t>
      </w:r>
      <w:r>
        <w:rPr>
          <w:rFonts w:hint="eastAsia" w:ascii="仿宋_GB2312" w:hAnsi="仿宋_GB2312" w:eastAsia="仿宋_GB2312" w:cs="宋体"/>
          <w:kern w:val="0"/>
          <w:sz w:val="32"/>
          <w:szCs w:val="24"/>
          <w:lang w:eastAsia="zh-CN"/>
        </w:rPr>
        <w:t>。</w:t>
      </w:r>
      <w:r>
        <w:rPr>
          <w:rFonts w:hint="eastAsia" w:ascii="仿宋_GB2312" w:hAnsi="仿宋_GB2312" w:eastAsia="仿宋_GB2312" w:cs="宋体"/>
          <w:kern w:val="0"/>
          <w:sz w:val="32"/>
          <w:szCs w:val="24"/>
          <w:lang w:val="en-US" w:eastAsia="zh-CN"/>
        </w:rPr>
        <w:t>“市场化运作，职业化管理”模式的推行，</w:t>
      </w:r>
      <w:r>
        <w:rPr>
          <w:rFonts w:hint="eastAsia" w:ascii="仿宋_GB2312" w:hAnsi="仿宋_GB2312" w:eastAsia="仿宋_GB2312" w:cs="宋体"/>
          <w:kern w:val="0"/>
          <w:sz w:val="32"/>
          <w:szCs w:val="24"/>
          <w:lang w:eastAsia="zh-CN"/>
        </w:rPr>
        <w:t>实现了呈贡区环卫作业“管干分离”的目标。同时</w:t>
      </w:r>
      <w:r>
        <w:rPr>
          <w:rFonts w:hint="eastAsia" w:ascii="仿宋_GB2312" w:hAnsi="仿宋_GB2312" w:eastAsia="仿宋_GB2312" w:cs="宋体"/>
          <w:color w:val="000000"/>
          <w:kern w:val="0"/>
          <w:sz w:val="32"/>
          <w:szCs w:val="32"/>
        </w:rPr>
        <w:t>加大对</w:t>
      </w:r>
      <w:r>
        <w:rPr>
          <w:rFonts w:hint="eastAsia" w:ascii="仿宋_GB2312" w:hAnsi="仿宋_GB2312" w:eastAsia="仿宋_GB2312" w:cs="宋体"/>
          <w:color w:val="000000"/>
          <w:kern w:val="0"/>
          <w:sz w:val="32"/>
          <w:szCs w:val="32"/>
          <w:lang w:eastAsia="zh-CN"/>
        </w:rPr>
        <w:t>清扫保洁环卫外包公司</w:t>
      </w:r>
      <w:r>
        <w:rPr>
          <w:rFonts w:hint="eastAsia" w:ascii="仿宋_GB2312" w:hAnsi="仿宋_GB2312" w:eastAsia="仿宋_GB2312" w:cs="宋体"/>
          <w:color w:val="000000"/>
          <w:kern w:val="0"/>
          <w:sz w:val="32"/>
          <w:szCs w:val="32"/>
        </w:rPr>
        <w:t>的监管力度</w:t>
      </w:r>
      <w:r>
        <w:rPr>
          <w:rFonts w:hint="eastAsia" w:ascii="仿宋_GB2312" w:hAnsi="仿宋_GB2312" w:eastAsia="仿宋_GB2312" w:cs="宋体"/>
          <w:color w:val="000000"/>
          <w:kern w:val="0"/>
          <w:sz w:val="32"/>
          <w:szCs w:val="32"/>
          <w:lang w:eastAsia="zh-CN"/>
        </w:rPr>
        <w:t>，</w:t>
      </w:r>
      <w:r>
        <w:rPr>
          <w:rFonts w:hint="eastAsia" w:ascii="仿宋_GB2312" w:hAnsi="仿宋_GB2312" w:eastAsia="仿宋_GB2312" w:cs="宋体"/>
          <w:sz w:val="32"/>
          <w:szCs w:val="32"/>
        </w:rPr>
        <w:t>安排</w:t>
      </w:r>
      <w:r>
        <w:rPr>
          <w:rFonts w:hint="eastAsia" w:ascii="仿宋_GB2312" w:hAnsi="仿宋_GB2312" w:eastAsia="仿宋_GB2312" w:cs="宋体"/>
          <w:sz w:val="32"/>
          <w:szCs w:val="32"/>
          <w:lang w:eastAsia="zh-CN"/>
        </w:rPr>
        <w:t>各</w:t>
      </w:r>
      <w:r>
        <w:rPr>
          <w:rFonts w:hint="eastAsia" w:ascii="仿宋_GB2312" w:hAnsi="仿宋_GB2312" w:eastAsia="仿宋_GB2312" w:cs="宋体"/>
          <w:sz w:val="32"/>
          <w:szCs w:val="32"/>
        </w:rPr>
        <w:t>公司对突发事件的应急处理。</w:t>
      </w:r>
      <w:r>
        <w:rPr>
          <w:rFonts w:hint="eastAsia" w:ascii="仿宋_GB2312" w:hAnsi="仿宋_GB2312" w:eastAsia="仿宋_GB2312"/>
          <w:sz w:val="32"/>
          <w:szCs w:val="32"/>
        </w:rPr>
        <w:t>建立更加严格的问责机制，对发现的问题不及时处理的按照工作要求和处理时限进行严厉的问责，以确保</w:t>
      </w:r>
      <w:r>
        <w:rPr>
          <w:rFonts w:hint="eastAsia" w:ascii="仿宋_GB2312" w:hAnsi="仿宋_GB2312" w:eastAsia="仿宋_GB2312"/>
          <w:sz w:val="32"/>
          <w:szCs w:val="32"/>
          <w:lang w:eastAsia="zh-CN"/>
        </w:rPr>
        <w:t>环卫清扫保洁</w:t>
      </w:r>
      <w:r>
        <w:rPr>
          <w:rFonts w:hint="eastAsia" w:ascii="仿宋_GB2312" w:hAnsi="仿宋_GB2312" w:eastAsia="仿宋_GB2312"/>
          <w:sz w:val="32"/>
          <w:szCs w:val="32"/>
        </w:rPr>
        <w:t>工作事事有人抓，事事有落实的长效机制。</w:t>
      </w:r>
      <w:r>
        <w:rPr>
          <w:rFonts w:hint="eastAsia" w:ascii="仿宋_GB2312" w:hAnsi="仿宋_GB2312" w:eastAsia="仿宋_GB2312" w:cs="宋体"/>
          <w:kern w:val="0"/>
          <w:sz w:val="32"/>
          <w:szCs w:val="24"/>
          <w:lang w:eastAsia="zh-CN"/>
        </w:rPr>
        <w:t>随着呈贡区建成区规模的不断扩大，呈贡区城市道路和社区道路的面积还会增加，对环卫清扫保洁作业要求和经费也会增加，</w:t>
      </w:r>
      <w:r>
        <w:rPr>
          <w:rFonts w:hint="eastAsia" w:ascii="仿宋_GB2312" w:hAnsi="仿宋_GB2312" w:eastAsia="仿宋_GB2312" w:cs="宋体"/>
          <w:kern w:val="0"/>
          <w:sz w:val="32"/>
          <w:szCs w:val="24"/>
          <w:lang w:val="en-US" w:eastAsia="zh-CN"/>
        </w:rPr>
        <w:t>清扫保洁、垃圾清运市场化外包有序进行，</w:t>
      </w:r>
      <w:r>
        <w:rPr>
          <w:rFonts w:hint="eastAsia" w:ascii="仿宋_GB2312" w:hAnsi="仿宋_GB2312" w:eastAsia="仿宋_GB2312" w:cs="宋体"/>
          <w:kern w:val="0"/>
          <w:sz w:val="32"/>
          <w:lang w:eastAsia="zh-CN"/>
        </w:rPr>
        <w:t>确保城市宜居、宜业，城市</w:t>
      </w:r>
      <w:r>
        <w:rPr>
          <w:rFonts w:hint="eastAsia" w:ascii="仿宋_GB2312" w:hAnsi="仿宋_GB2312" w:eastAsia="仿宋_GB2312" w:cs="宋体"/>
          <w:kern w:val="0"/>
          <w:sz w:val="32"/>
          <w:lang w:val="en-US" w:eastAsia="zh-CN"/>
        </w:rPr>
        <w:t>pm2.5达标，</w:t>
      </w:r>
      <w:r>
        <w:rPr>
          <w:rFonts w:hint="eastAsia" w:ascii="仿宋_GB2312" w:hAnsi="仿宋_GB2312" w:eastAsia="仿宋_GB2312" w:cs="宋体"/>
          <w:kern w:val="0"/>
          <w:sz w:val="32"/>
          <w:lang w:eastAsia="zh-CN"/>
        </w:rPr>
        <w:t>符合国家卫生城市标准</w:t>
      </w:r>
      <w:r>
        <w:rPr>
          <w:rFonts w:hint="eastAsia" w:ascii="仿宋_GB2312" w:hAnsi="仿宋_GB2312" w:eastAsia="仿宋_GB2312" w:cs="宋体"/>
          <w:kern w:val="0"/>
          <w:sz w:val="32"/>
          <w:szCs w:val="24"/>
          <w:lang w:eastAsia="zh-CN"/>
        </w:rPr>
        <w:t>。</w:t>
      </w:r>
    </w:p>
    <w:p>
      <w:pPr>
        <w:pStyle w:val="4"/>
        <w:keepNext w:val="0"/>
        <w:keepLines w:val="0"/>
        <w:pageBreakBefore w:val="0"/>
        <w:widowControl w:val="0"/>
        <w:kinsoku/>
        <w:wordWrap/>
        <w:overflowPunct/>
        <w:autoSpaceDE/>
        <w:autoSpaceDN/>
        <w:bidi w:val="0"/>
        <w:spacing w:before="0" w:beforeLines="0" w:after="0" w:afterLines="0" w:line="560" w:lineRule="exact"/>
        <w:ind w:left="0" w:leftChars="0" w:right="0" w:rightChars="0" w:firstLine="0" w:firstLineChars="0"/>
        <w:textAlignment w:val="auto"/>
        <w:rPr>
          <w:rFonts w:hint="eastAsia" w:ascii="仿宋_GB2312" w:hAnsi="仿宋_GB2312" w:eastAsia="仿宋_GB2312" w:cs="Times New Roman"/>
          <w:b w:val="0"/>
          <w:sz w:val="32"/>
          <w:szCs w:val="32"/>
          <w:lang w:eastAsia="zh-CN"/>
        </w:rPr>
      </w:pPr>
      <w:r>
        <w:rPr>
          <w:rFonts w:hint="eastAsia" w:ascii="仿宋_GB2312" w:hAnsi="仿宋_GB2312" w:eastAsia="仿宋_GB2312" w:cs="Times New Roman"/>
          <w:b w:val="0"/>
          <w:sz w:val="32"/>
          <w:szCs w:val="32"/>
          <w:lang w:val="en-US" w:eastAsia="zh-CN"/>
        </w:rPr>
        <w:t xml:space="preserve">   </w:t>
      </w:r>
      <w:r>
        <w:rPr>
          <w:rFonts w:hint="eastAsia" w:ascii="仿宋_GB2312" w:hAnsi="仿宋_GB2312" w:eastAsia="仿宋_GB2312" w:cs="Times New Roman"/>
          <w:b w:val="0"/>
          <w:sz w:val="32"/>
          <w:szCs w:val="32"/>
          <w:lang w:eastAsia="zh-CN"/>
        </w:rPr>
        <w:t>（四）可持续性分析</w:t>
      </w:r>
    </w:p>
    <w:p>
      <w:pPr>
        <w:pStyle w:val="4"/>
        <w:keepNext w:val="0"/>
        <w:keepLines w:val="0"/>
        <w:pageBreakBefore w:val="0"/>
        <w:widowControl w:val="0"/>
        <w:kinsoku/>
        <w:wordWrap/>
        <w:overflowPunct/>
        <w:autoSpaceDE/>
        <w:autoSpaceDN/>
        <w:bidi w:val="0"/>
        <w:spacing w:before="0" w:beforeLines="0" w:after="0" w:afterLines="0" w:line="560" w:lineRule="exact"/>
        <w:ind w:left="0" w:leftChars="0" w:right="0" w:rightChars="0" w:firstLineChars="0"/>
        <w:textAlignment w:val="auto"/>
        <w:rPr>
          <w:rFonts w:hint="eastAsia" w:ascii="仿宋_GB2312" w:hAnsi="仿宋_GB2312" w:eastAsia="仿宋_GB2312" w:cs="Times New Roman"/>
          <w:b w:val="0"/>
          <w:sz w:val="32"/>
          <w:szCs w:val="32"/>
        </w:rPr>
      </w:pPr>
      <w:r>
        <w:rPr>
          <w:rFonts w:hint="eastAsia" w:ascii="仿宋_GB2312" w:hAnsi="仿宋_GB2312" w:eastAsia="仿宋_GB2312" w:cs="Times New Roman"/>
          <w:b w:val="0"/>
          <w:sz w:val="32"/>
          <w:szCs w:val="32"/>
        </w:rPr>
        <w:t>随着经济的快速发展</w:t>
      </w:r>
      <w:r>
        <w:rPr>
          <w:rFonts w:hint="eastAsia" w:ascii="仿宋_GB2312" w:hAnsi="仿宋_GB2312" w:eastAsia="仿宋_GB2312" w:cs="Times New Roman"/>
          <w:b w:val="0"/>
          <w:sz w:val="32"/>
          <w:szCs w:val="32"/>
          <w:lang w:eastAsia="zh-CN"/>
        </w:rPr>
        <w:t>和</w:t>
      </w:r>
      <w:r>
        <w:rPr>
          <w:rFonts w:hint="eastAsia" w:ascii="仿宋_GB2312" w:hAnsi="仿宋_GB2312" w:eastAsia="仿宋_GB2312" w:cs="Times New Roman"/>
          <w:b w:val="0"/>
          <w:sz w:val="32"/>
          <w:szCs w:val="32"/>
        </w:rPr>
        <w:t>城镇化进程的不断加速，使得生产生活垃圾不断增多，各种环境问题日益突出。通过大力开展城乡清洁工程，改变城乡环境卫生面貌，对提高城乡人民群众的生活质量，实现人与自然和谐共处具有可持续影响。</w:t>
      </w:r>
    </w:p>
    <w:p>
      <w:pPr>
        <w:topLinePunct/>
        <w:ind w:firstLine="594" w:firstLineChars="200"/>
        <w:rPr>
          <w:rFonts w:ascii="黑体" w:eastAsia="黑体"/>
          <w:szCs w:val="32"/>
        </w:rPr>
      </w:pPr>
      <w:r>
        <w:rPr>
          <w:rFonts w:hint="eastAsia" w:ascii="黑体" w:eastAsia="黑体"/>
          <w:szCs w:val="32"/>
          <w:lang w:eastAsia="zh-CN"/>
        </w:rPr>
        <w:t>五</w:t>
      </w:r>
      <w:r>
        <w:rPr>
          <w:rFonts w:hint="eastAsia" w:ascii="黑体" w:eastAsia="黑体"/>
          <w:szCs w:val="32"/>
        </w:rPr>
        <w:t>、存在的问题</w:t>
      </w:r>
    </w:p>
    <w:p>
      <w:pPr>
        <w:topLinePunct/>
        <w:ind w:firstLine="618" w:firstLineChars="200"/>
        <w:rPr>
          <w:rFonts w:hint="eastAsia" w:ascii="仿宋_GB2312" w:hAnsi="仿宋_GB2312" w:eastAsia="仿宋_GB2312" w:cs="Times New Roman"/>
          <w:b w:val="0"/>
          <w:spacing w:val="6"/>
          <w:kern w:val="2"/>
          <w:sz w:val="32"/>
          <w:szCs w:val="32"/>
          <w:lang w:val="en-US" w:eastAsia="zh-CN" w:bidi="ar-SA"/>
        </w:rPr>
      </w:pPr>
      <w:r>
        <w:rPr>
          <w:rFonts w:hint="eastAsia" w:ascii="仿宋_GB2312" w:hAnsi="仿宋_GB2312" w:eastAsia="仿宋_GB2312" w:cs="Times New Roman"/>
          <w:b w:val="0"/>
          <w:spacing w:val="6"/>
          <w:kern w:val="2"/>
          <w:sz w:val="32"/>
          <w:szCs w:val="32"/>
          <w:lang w:val="en-US" w:eastAsia="zh-CN" w:bidi="ar-SA"/>
        </w:rPr>
        <w:t>无。</w:t>
      </w:r>
    </w:p>
    <w:p>
      <w:pPr>
        <w:topLinePunct/>
        <w:ind w:firstLine="594" w:firstLineChars="200"/>
        <w:rPr>
          <w:rFonts w:ascii="黑体" w:eastAsia="黑体"/>
          <w:szCs w:val="32"/>
        </w:rPr>
      </w:pPr>
      <w:r>
        <w:rPr>
          <w:rFonts w:hint="eastAsia" w:ascii="黑体" w:eastAsia="黑体"/>
          <w:szCs w:val="32"/>
          <w:lang w:eastAsia="zh-CN"/>
        </w:rPr>
        <w:t>六</w:t>
      </w:r>
      <w:r>
        <w:rPr>
          <w:rFonts w:hint="eastAsia" w:ascii="黑体" w:eastAsia="黑体"/>
          <w:szCs w:val="32"/>
        </w:rPr>
        <w:t>、其他需要说明的问题</w:t>
      </w:r>
    </w:p>
    <w:p>
      <w:pPr>
        <w:ind w:firstLine="594" w:firstLineChars="200"/>
        <w:rPr>
          <w:rFonts w:hint="eastAsia" w:ascii="仿宋_GB2312"/>
          <w:szCs w:val="32"/>
          <w:lang w:val="en-US" w:eastAsia="zh-CN"/>
        </w:rPr>
      </w:pPr>
      <w:r>
        <w:rPr>
          <w:rFonts w:hint="eastAsia" w:ascii="仿宋_GB2312"/>
          <w:szCs w:val="32"/>
          <w:lang w:val="en-US" w:eastAsia="zh-CN"/>
        </w:rPr>
        <w:t>2021年该项目将继续实施，</w:t>
      </w:r>
      <w:r>
        <w:rPr>
          <w:rFonts w:eastAsia="仿宋_GB2312"/>
          <w:color w:val="000000"/>
          <w:kern w:val="0"/>
          <w:sz w:val="32"/>
          <w:szCs w:val="32"/>
        </w:rPr>
        <w:t>经征求各街道办事处意见建议，</w:t>
      </w:r>
      <w:r>
        <w:rPr>
          <w:rFonts w:hint="eastAsia"/>
          <w:color w:val="000000"/>
          <w:kern w:val="0"/>
          <w:sz w:val="32"/>
          <w:szCs w:val="32"/>
          <w:lang w:eastAsia="zh-CN"/>
        </w:rPr>
        <w:t>拟将</w:t>
      </w:r>
      <w:r>
        <w:rPr>
          <w:rFonts w:hint="eastAsia"/>
          <w:color w:val="000000"/>
          <w:kern w:val="0"/>
          <w:sz w:val="32"/>
          <w:szCs w:val="32"/>
          <w:lang w:val="en-US" w:eastAsia="zh-CN"/>
        </w:rPr>
        <w:t>300</w:t>
      </w:r>
      <w:r>
        <w:rPr>
          <w:rFonts w:hint="eastAsia"/>
          <w:color w:val="000000"/>
          <w:kern w:val="0"/>
          <w:sz w:val="32"/>
          <w:szCs w:val="32"/>
          <w:lang w:eastAsia="zh-CN"/>
        </w:rPr>
        <w:t>余</w:t>
      </w:r>
      <w:r>
        <w:rPr>
          <w:rFonts w:eastAsia="仿宋_GB2312"/>
          <w:color w:val="000000"/>
          <w:kern w:val="0"/>
          <w:sz w:val="32"/>
          <w:szCs w:val="32"/>
        </w:rPr>
        <w:t>座公厕纳入环卫清扫保洁市场化服务外包，</w:t>
      </w:r>
      <w:r>
        <w:rPr>
          <w:rFonts w:hint="eastAsia" w:ascii="仿宋_GB2312"/>
          <w:szCs w:val="32"/>
          <w:lang w:val="en-US" w:eastAsia="zh-CN"/>
        </w:rPr>
        <w:t>以提高呈贡区环境卫生质量水平，改善呈贡区居住环境。</w:t>
      </w:r>
    </w:p>
    <w:p>
      <w:pPr>
        <w:ind w:firstLine="594" w:firstLineChars="200"/>
        <w:rPr>
          <w:rFonts w:hint="eastAsia" w:ascii="仿宋_GB2312"/>
          <w:szCs w:val="32"/>
          <w:lang w:val="en-US" w:eastAsia="zh-CN"/>
        </w:rPr>
      </w:pPr>
    </w:p>
    <w:p>
      <w:pPr>
        <w:ind w:firstLine="594" w:firstLineChars="200"/>
        <w:rPr>
          <w:rFonts w:hint="eastAsia" w:ascii="仿宋_GB2312"/>
          <w:szCs w:val="32"/>
          <w:lang w:val="en-US" w:eastAsia="zh-CN"/>
        </w:rPr>
      </w:pPr>
    </w:p>
    <w:p>
      <w:pPr>
        <w:ind w:firstLine="594" w:firstLineChars="200"/>
        <w:rPr>
          <w:rFonts w:hint="eastAsia" w:ascii="仿宋_GB2312"/>
          <w:szCs w:val="32"/>
          <w:lang w:val="en-US" w:eastAsia="zh-CN"/>
        </w:rPr>
      </w:pPr>
      <w:r>
        <w:rPr>
          <w:rFonts w:hint="eastAsia" w:ascii="仿宋_GB2312"/>
          <w:szCs w:val="32"/>
          <w:lang w:val="en-US" w:eastAsia="zh-CN"/>
        </w:rPr>
        <w:t xml:space="preserve">                   昆明市呈贡区市政管理综合服务中心</w:t>
      </w:r>
    </w:p>
    <w:p>
      <w:pPr>
        <w:ind w:firstLine="4752" w:firstLineChars="1600"/>
        <w:rPr>
          <w:rFonts w:hint="default" w:ascii="仿宋_GB2312"/>
          <w:szCs w:val="32"/>
          <w:lang w:val="en-US" w:eastAsia="zh-CN"/>
        </w:rPr>
      </w:pPr>
      <w:r>
        <w:rPr>
          <w:rFonts w:hint="eastAsia" w:ascii="仿宋_GB2312"/>
          <w:szCs w:val="32"/>
          <w:lang w:val="en-US" w:eastAsia="zh-CN"/>
        </w:rPr>
        <w:t>2021年3月10日</w:t>
      </w:r>
    </w:p>
    <w:sectPr>
      <w:pgSz w:w="11906" w:h="16838"/>
      <w:pgMar w:top="1723" w:right="1800" w:bottom="1723" w:left="1800"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D28781"/>
    <w:multiLevelType w:val="singleLevel"/>
    <w:tmpl w:val="E7D2878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E36CA"/>
    <w:rsid w:val="12B760F7"/>
    <w:rsid w:val="1E9C4831"/>
    <w:rsid w:val="1F235E4B"/>
    <w:rsid w:val="33530073"/>
    <w:rsid w:val="378A5996"/>
    <w:rsid w:val="435B5EBA"/>
    <w:rsid w:val="46553D45"/>
    <w:rsid w:val="5A3C6978"/>
    <w:rsid w:val="609B4D2A"/>
    <w:rsid w:val="67600811"/>
    <w:rsid w:val="799D6063"/>
    <w:rsid w:val="7CFC1CBA"/>
    <w:rsid w:val="7F975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标题3"/>
    <w:basedOn w:val="1"/>
    <w:qFormat/>
    <w:uiPriority w:val="0"/>
    <w:pPr>
      <w:spacing w:line="600" w:lineRule="exact"/>
      <w:ind w:firstLine="626" w:firstLineChars="200"/>
      <w:jc w:val="left"/>
    </w:pPr>
    <w:rPr>
      <w:rFonts w:ascii="宋体" w:hAnsi="宋体" w:eastAsia="宋体" w:cs="仿宋"/>
      <w:b/>
      <w:spacing w:val="6"/>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小希希</cp:lastModifiedBy>
  <dcterms:modified xsi:type="dcterms:W3CDTF">2021-03-12T03:24:11Z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