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Cs w:val="32"/>
        </w:rPr>
      </w:pPr>
      <w:r>
        <w:rPr>
          <w:rFonts w:hint="eastAsia" w:ascii="黑体" w:eastAsia="黑体"/>
          <w:szCs w:val="32"/>
        </w:rPr>
        <w:t>附件</w:t>
      </w:r>
      <w:r>
        <w:rPr>
          <w:rFonts w:hint="eastAsia" w:ascii="黑体" w:eastAsia="黑体"/>
          <w:szCs w:val="32"/>
          <w:lang w:val="en-US" w:eastAsia="zh-CN"/>
        </w:rPr>
        <w:t>4-2</w:t>
      </w:r>
      <w:r>
        <w:rPr>
          <w:rFonts w:ascii="黑体" w:eastAsia="黑体"/>
          <w:szCs w:val="32"/>
        </w:rPr>
        <w:t>:</w:t>
      </w:r>
    </w:p>
    <w:p>
      <w:pPr>
        <w:rPr>
          <w:rFonts w:ascii="黑体" w:eastAsia="黑体"/>
          <w:szCs w:val="32"/>
        </w:rPr>
      </w:pPr>
    </w:p>
    <w:p>
      <w:pPr>
        <w:spacing w:line="600" w:lineRule="exact"/>
        <w:jc w:val="center"/>
        <w:rPr>
          <w:rFonts w:hint="eastAsia" w:ascii="方正小标宋_GBK" w:eastAsia="方正小标宋_GBK"/>
          <w:sz w:val="36"/>
          <w:szCs w:val="36"/>
        </w:rPr>
      </w:pPr>
      <w:r>
        <w:rPr>
          <w:rFonts w:hint="eastAsia" w:ascii="方正小标宋_GBK" w:eastAsia="方正小标宋_GBK"/>
          <w:sz w:val="36"/>
          <w:szCs w:val="36"/>
        </w:rPr>
        <w:t>建设项目安全鉴定、面积测绘、造价评估费用</w:t>
      </w:r>
    </w:p>
    <w:p>
      <w:pPr>
        <w:spacing w:line="600" w:lineRule="exact"/>
        <w:jc w:val="center"/>
        <w:rPr>
          <w:rFonts w:ascii="方正小标宋_GBK" w:eastAsia="方正小标宋_GBK"/>
          <w:sz w:val="36"/>
          <w:szCs w:val="36"/>
        </w:rPr>
      </w:pPr>
      <w:r>
        <w:rPr>
          <w:rFonts w:hint="eastAsia" w:ascii="方正小标宋_GBK" w:eastAsia="方正小标宋_GBK"/>
          <w:sz w:val="36"/>
          <w:szCs w:val="36"/>
        </w:rPr>
        <w:t>项目支出绩效报告</w:t>
      </w:r>
    </w:p>
    <w:p>
      <w:pPr>
        <w:spacing w:line="600" w:lineRule="exact"/>
        <w:ind w:firstLine="594" w:firstLineChars="200"/>
        <w:rPr>
          <w:rFonts w:ascii="仿宋_GB2312"/>
          <w:b/>
          <w:szCs w:val="32"/>
        </w:rPr>
      </w:pPr>
    </w:p>
    <w:p>
      <w:pPr>
        <w:topLinePunct/>
        <w:ind w:firstLine="594" w:firstLineChars="200"/>
        <w:rPr>
          <w:rFonts w:ascii="黑体" w:eastAsia="黑体"/>
          <w:szCs w:val="32"/>
        </w:rPr>
      </w:pPr>
      <w:r>
        <w:rPr>
          <w:rFonts w:hint="eastAsia" w:ascii="黑体" w:eastAsia="黑体"/>
          <w:szCs w:val="32"/>
        </w:rPr>
        <w:t>一、项目基本情况</w:t>
      </w:r>
    </w:p>
    <w:p>
      <w:pPr>
        <w:topLinePunct/>
        <w:ind w:firstLine="594" w:firstLineChars="200"/>
        <w:rPr>
          <w:rFonts w:hint="eastAsia" w:ascii="仿宋_GB2312"/>
          <w:szCs w:val="32"/>
        </w:rPr>
      </w:pPr>
      <w:r>
        <w:rPr>
          <w:rFonts w:hint="eastAsia" w:ascii="仿宋_GB2312"/>
          <w:szCs w:val="32"/>
        </w:rPr>
        <w:t>（一）为确保公平、公正、公开依法办理行政处罚案件，按照案件办理程序对涉及违法建设项目进行造价评估、安全鉴定、面积测绘等，确保在依法行政的同时充分维护行政处罚当事人享有相应的权利、义务。根据《中华人民共和国城乡规划法》、《中华人民共和国建筑法》等相关法律法规的规定，对涉及违法建设项目的处罚，需请造价公司对违法建设项目进行造价评估，安全鉴定；根据《中华人民共和国行政强制法》第二十五条第三款之规定，检测、检验、检疫或者技术鉴定的费用由行政机关承担。因此申请呈财行﹝2018﹞96号建设项目安全鉴定、面积测绘、造价评估费用项目。并因工作实际需要，2018年我局采取公开招投标方式确定第三方云南恒业工程造价咨询有限公司为我局查处的违法建设项目提供造价评估、安全鉴定服务，并于2018年9月11日与其签订为期3年的违法建设项目工程造价审核咨询服务合同。</w:t>
      </w:r>
    </w:p>
    <w:p>
      <w:pPr>
        <w:topLinePunct/>
        <w:ind w:firstLine="594" w:firstLineChars="200"/>
        <w:rPr>
          <w:rFonts w:hint="eastAsia" w:ascii="仿宋_GB2312"/>
          <w:szCs w:val="32"/>
        </w:rPr>
      </w:pPr>
      <w:r>
        <w:rPr>
          <w:rFonts w:hint="eastAsia" w:ascii="仿宋_GB2312"/>
          <w:szCs w:val="32"/>
        </w:rPr>
        <w:t>（二） 为正常实施对违法建设项目进行造价评估、安全鉴定服务，项目资金准时按照案件办理程序对涉及未批先建项目进行造价评估，安全鉴定，根据案件办理进度100%完成指标任务。</w:t>
      </w:r>
    </w:p>
    <w:p>
      <w:pPr>
        <w:topLinePunct/>
        <w:ind w:firstLine="594" w:firstLineChars="200"/>
        <w:rPr>
          <w:rFonts w:hint="eastAsia" w:ascii="黑体" w:eastAsia="黑体"/>
          <w:szCs w:val="32"/>
        </w:rPr>
      </w:pPr>
      <w:r>
        <w:rPr>
          <w:rFonts w:hint="eastAsia" w:ascii="黑体" w:eastAsia="黑体"/>
          <w:szCs w:val="32"/>
        </w:rPr>
        <w:t>二、</w:t>
      </w:r>
      <w:r>
        <w:rPr>
          <w:rFonts w:hint="eastAsia" w:ascii="黑体" w:eastAsia="黑体"/>
          <w:szCs w:val="32"/>
          <w:lang w:eastAsia="zh-CN"/>
        </w:rPr>
        <w:t>项目资金使用及管理情况</w:t>
      </w:r>
    </w:p>
    <w:p>
      <w:pPr>
        <w:keepNext w:val="0"/>
        <w:keepLines w:val="0"/>
        <w:pageBreakBefore w:val="0"/>
        <w:widowControl w:val="0"/>
        <w:kinsoku/>
        <w:wordWrap/>
        <w:overflowPunct/>
        <w:topLinePunct/>
        <w:autoSpaceDE/>
        <w:autoSpaceDN/>
        <w:bidi w:val="0"/>
        <w:adjustRightInd/>
        <w:snapToGrid/>
        <w:spacing w:line="240" w:lineRule="auto"/>
        <w:ind w:right="0" w:rightChars="0" w:firstLine="594"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规划建设管理中队2020年初的部门预算项目支出额度为250000元。后因工作实际，按年初预算，又于2020年9月申请调减2020年建设项目安全鉴定、面积测绘、造价评估费用90000元。截止2020年12月15日，规划建设管理中队2020年部门预算资金共计160000元，到位资金160000元，实际支出为159522.05元，部门预算支出进度为99.70%</w:t>
      </w:r>
      <w:r>
        <w:rPr>
          <w:rFonts w:hint="eastAsia" w:ascii="仿宋_GB2312" w:hAnsi="仿宋_GB2312" w:cs="仿宋_GB2312"/>
          <w:szCs w:val="32"/>
          <w:lang w:eastAsia="zh-CN"/>
        </w:rPr>
        <w:t>。</w:t>
      </w:r>
    </w:p>
    <w:p>
      <w:pPr>
        <w:topLinePunct/>
        <w:ind w:firstLine="594" w:firstLineChars="200"/>
        <w:rPr>
          <w:rFonts w:hint="eastAsia" w:ascii="黑体" w:eastAsia="黑体"/>
          <w:szCs w:val="32"/>
          <w:lang w:eastAsia="zh-CN"/>
        </w:rPr>
      </w:pPr>
      <w:r>
        <w:rPr>
          <w:rFonts w:hint="eastAsia" w:ascii="黑体" w:eastAsia="黑体"/>
          <w:szCs w:val="32"/>
          <w:lang w:eastAsia="zh-CN"/>
        </w:rPr>
        <w:t>三、项目组织实施情况</w:t>
      </w:r>
    </w:p>
    <w:p>
      <w:pPr>
        <w:topLinePunct/>
        <w:ind w:firstLine="594" w:firstLineChars="200"/>
        <w:rPr>
          <w:rFonts w:ascii="仿宋_GB2312"/>
          <w:szCs w:val="32"/>
        </w:rPr>
      </w:pPr>
      <w:r>
        <w:rPr>
          <w:rFonts w:hint="eastAsia" w:ascii="仿宋_GB2312" w:hAnsi="仿宋_GB2312" w:eastAsia="仿宋_GB2312" w:cs="仿宋_GB2312"/>
          <w:szCs w:val="32"/>
        </w:rPr>
        <w:t>规建中队项目资金组织管理严格按照财经纪律及我局财务管理制度执行，该项目前期于2018年采取公开招投标方式确定第三方云南恒业工程造价咨询有限公司为我局查处的违法建设项目提供造价评估、安全鉴定服务，并于2018年9月11日与其签订为期3年的违法建设项目工程造价审核咨询服务合同。该项目支出超过一万元需报请局长办公会审议后列支，严格按照项目立项开展年初预算申报及项目经费实施，项目实施有专人管理负责，严格按照项目合同进程实施。</w:t>
      </w:r>
    </w:p>
    <w:p>
      <w:pPr>
        <w:topLinePunct/>
        <w:ind w:firstLine="594" w:firstLineChars="200"/>
        <w:rPr>
          <w:rFonts w:ascii="黑体" w:eastAsia="黑体"/>
          <w:szCs w:val="32"/>
        </w:rPr>
      </w:pPr>
      <w:r>
        <w:rPr>
          <w:rFonts w:hint="eastAsia" w:ascii="黑体" w:eastAsia="黑体"/>
          <w:szCs w:val="32"/>
          <w:lang w:eastAsia="zh-CN"/>
        </w:rPr>
        <w:t>四</w:t>
      </w:r>
      <w:r>
        <w:rPr>
          <w:rFonts w:hint="eastAsia" w:ascii="黑体" w:eastAsia="黑体"/>
          <w:szCs w:val="32"/>
        </w:rPr>
        <w:t>、项目绩效情况</w:t>
      </w:r>
    </w:p>
    <w:p>
      <w:pPr>
        <w:topLinePunct/>
        <w:ind w:firstLine="594" w:firstLineChars="200"/>
        <w:rPr>
          <w:rFonts w:hint="eastAsia" w:ascii="仿宋_GB2312"/>
          <w:szCs w:val="32"/>
        </w:rPr>
      </w:pPr>
      <w:r>
        <w:rPr>
          <w:rFonts w:hint="eastAsia" w:ascii="仿宋_GB2312"/>
          <w:szCs w:val="32"/>
        </w:rPr>
        <w:t>（一）项目经济性分析。</w:t>
      </w:r>
    </w:p>
    <w:p>
      <w:pPr>
        <w:topLinePunct/>
        <w:ind w:firstLine="594" w:firstLineChars="200"/>
        <w:rPr>
          <w:rFonts w:hint="eastAsia" w:ascii="仿宋_GB2312"/>
          <w:szCs w:val="32"/>
        </w:rPr>
      </w:pPr>
      <w:r>
        <w:rPr>
          <w:rFonts w:hint="eastAsia" w:ascii="仿宋_GB2312"/>
          <w:szCs w:val="32"/>
        </w:rPr>
        <w:t>该项目初期预算为</w:t>
      </w:r>
      <w:r>
        <w:rPr>
          <w:rFonts w:hint="eastAsia" w:ascii="仿宋_GB2312"/>
          <w:szCs w:val="32"/>
          <w:lang w:val="en-US" w:eastAsia="zh-CN"/>
        </w:rPr>
        <w:t>250000</w:t>
      </w:r>
      <w:r>
        <w:rPr>
          <w:rFonts w:hint="eastAsia" w:ascii="仿宋_GB2312"/>
          <w:szCs w:val="32"/>
        </w:rPr>
        <w:t>元，后因工作实际，又于2020年9月申请调减2020年建设项目安全鉴定、面积测绘、造价评估费用90000元，实际到位</w:t>
      </w:r>
      <w:r>
        <w:rPr>
          <w:rFonts w:hint="eastAsia" w:ascii="仿宋_GB2312"/>
          <w:szCs w:val="32"/>
          <w:lang w:val="en-US" w:eastAsia="zh-CN"/>
        </w:rPr>
        <w:t>160000</w:t>
      </w:r>
      <w:r>
        <w:rPr>
          <w:rFonts w:hint="eastAsia" w:ascii="仿宋_GB2312"/>
          <w:szCs w:val="32"/>
        </w:rPr>
        <w:t>元，实际支出159522.05元，部门预算支出进度为99.70%。</w:t>
      </w:r>
    </w:p>
    <w:p>
      <w:pPr>
        <w:topLinePunct/>
        <w:ind w:firstLine="594" w:firstLineChars="200"/>
        <w:rPr>
          <w:rFonts w:hint="eastAsia" w:ascii="仿宋_GB2312"/>
          <w:szCs w:val="32"/>
        </w:rPr>
      </w:pPr>
      <w:r>
        <w:rPr>
          <w:rFonts w:hint="eastAsia" w:ascii="仿宋_GB2312"/>
          <w:szCs w:val="32"/>
        </w:rPr>
        <w:t>（二）项目的效率性分析。</w:t>
      </w:r>
    </w:p>
    <w:p>
      <w:pPr>
        <w:topLinePunct/>
        <w:ind w:firstLine="594" w:firstLineChars="200"/>
        <w:rPr>
          <w:rFonts w:hint="eastAsia" w:ascii="仿宋_GB2312"/>
          <w:szCs w:val="32"/>
        </w:rPr>
      </w:pPr>
      <w:r>
        <w:rPr>
          <w:rFonts w:hint="eastAsia" w:ascii="仿宋_GB2312"/>
          <w:szCs w:val="32"/>
        </w:rPr>
        <w:t>各项目按照既定要求合同约定有序进行，切实按照《建设工程造价咨询成果文件质量标准》（CECA/GC7-2012），准时按照案件办理程序对涉及未批先建项目进行造价评估，安全鉴定，根据案件办理进度100%完成。</w:t>
      </w:r>
    </w:p>
    <w:p>
      <w:pPr>
        <w:topLinePunct/>
        <w:ind w:firstLine="594" w:firstLineChars="200"/>
        <w:rPr>
          <w:rFonts w:hint="eastAsia" w:ascii="仿宋_GB2312"/>
          <w:szCs w:val="32"/>
        </w:rPr>
      </w:pPr>
      <w:r>
        <w:rPr>
          <w:rFonts w:hint="eastAsia" w:ascii="仿宋_GB2312"/>
          <w:szCs w:val="32"/>
        </w:rPr>
        <w:t>（三）项目的有效性分析。</w:t>
      </w:r>
    </w:p>
    <w:p>
      <w:pPr>
        <w:topLinePunct/>
        <w:ind w:firstLine="594" w:firstLineChars="200"/>
        <w:rPr>
          <w:rFonts w:hint="eastAsia" w:ascii="仿宋_GB2312"/>
          <w:szCs w:val="32"/>
        </w:rPr>
      </w:pPr>
      <w:r>
        <w:rPr>
          <w:rFonts w:hint="eastAsia" w:ascii="仿宋_GB2312"/>
          <w:szCs w:val="32"/>
        </w:rPr>
        <w:t>提高社会效益性，确保公平、公正、公开依法办理行政处罚案件，提高服务对象满意度，确保行政处罚当事人享有相应的权利、义务。</w:t>
      </w:r>
    </w:p>
    <w:p>
      <w:pPr>
        <w:topLinePunct/>
        <w:ind w:firstLine="594" w:firstLineChars="200"/>
        <w:rPr>
          <w:rFonts w:hint="eastAsia" w:ascii="仿宋_GB2312"/>
          <w:szCs w:val="32"/>
        </w:rPr>
      </w:pPr>
      <w:r>
        <w:rPr>
          <w:rFonts w:hint="eastAsia" w:ascii="仿宋_GB2312"/>
          <w:szCs w:val="32"/>
        </w:rPr>
        <w:t>（四）项目的可持续性分析。</w:t>
      </w:r>
    </w:p>
    <w:p>
      <w:pPr>
        <w:topLinePunct/>
        <w:ind w:firstLine="594" w:firstLineChars="200"/>
        <w:rPr>
          <w:rFonts w:hint="eastAsia" w:ascii="仿宋_GB2312"/>
          <w:szCs w:val="32"/>
        </w:rPr>
      </w:pPr>
      <w:r>
        <w:rPr>
          <w:rFonts w:hint="eastAsia" w:ascii="仿宋_GB2312"/>
          <w:szCs w:val="32"/>
        </w:rPr>
        <w:t>根据现行法律法规和政策文件的规定，聘请第三方造价公司的专业人员对违法建设进行安全鉴定、面积测绘、造价评估是必然趋势。做到专款专用,在高质量完成预期目标的前提下节俭节约,充分发挥了项目资金的效益。 </w:t>
      </w:r>
    </w:p>
    <w:p>
      <w:pPr>
        <w:topLinePunct/>
        <w:ind w:firstLine="594" w:firstLineChars="200"/>
        <w:rPr>
          <w:rFonts w:ascii="黑体" w:eastAsia="黑体"/>
          <w:szCs w:val="32"/>
        </w:rPr>
      </w:pPr>
      <w:r>
        <w:rPr>
          <w:rFonts w:hint="eastAsia" w:ascii="黑体" w:eastAsia="黑体"/>
          <w:szCs w:val="32"/>
          <w:lang w:eastAsia="zh-CN"/>
        </w:rPr>
        <w:t>五</w:t>
      </w:r>
      <w:r>
        <w:rPr>
          <w:rFonts w:hint="eastAsia" w:ascii="黑体" w:eastAsia="黑体"/>
          <w:szCs w:val="32"/>
        </w:rPr>
        <w:t>、存在的问题</w:t>
      </w:r>
    </w:p>
    <w:p>
      <w:pPr>
        <w:topLinePunct/>
        <w:ind w:firstLine="594" w:firstLineChars="200"/>
        <w:rPr>
          <w:rFonts w:hint="default" w:ascii="仿宋_GB2312"/>
          <w:szCs w:val="32"/>
          <w:lang w:val="en-US" w:eastAsia="zh-CN"/>
        </w:rPr>
      </w:pPr>
      <w:r>
        <w:rPr>
          <w:rFonts w:hint="eastAsia" w:ascii="仿宋_GB2312"/>
          <w:szCs w:val="32"/>
          <w:lang w:val="en-US" w:eastAsia="zh-CN"/>
        </w:rPr>
        <w:t>无。</w:t>
      </w:r>
    </w:p>
    <w:p>
      <w:pPr>
        <w:topLinePunct/>
        <w:ind w:firstLine="594" w:firstLineChars="200"/>
        <w:rPr>
          <w:rFonts w:ascii="黑体" w:eastAsia="黑体"/>
          <w:szCs w:val="32"/>
        </w:rPr>
      </w:pPr>
      <w:r>
        <w:rPr>
          <w:rFonts w:hint="eastAsia" w:ascii="黑体" w:eastAsia="黑体"/>
          <w:szCs w:val="32"/>
          <w:lang w:eastAsia="zh-CN"/>
        </w:rPr>
        <w:t>六</w:t>
      </w:r>
      <w:r>
        <w:rPr>
          <w:rFonts w:hint="eastAsia" w:ascii="黑体" w:eastAsia="黑体"/>
          <w:szCs w:val="32"/>
        </w:rPr>
        <w:t>、其他需要说明的问题</w:t>
      </w:r>
    </w:p>
    <w:p>
      <w:pPr>
        <w:ind w:firstLine="593"/>
        <w:rPr>
          <w:rFonts w:hint="eastAsia"/>
          <w:lang w:val="en-US" w:eastAsia="zh-CN"/>
        </w:rPr>
      </w:pPr>
      <w:r>
        <w:rPr>
          <w:rFonts w:hint="eastAsia"/>
          <w:lang w:val="en-US" w:eastAsia="zh-CN"/>
        </w:rPr>
        <w:t>无。</w:t>
      </w:r>
    </w:p>
    <w:p>
      <w:pPr>
        <w:ind w:firstLine="593"/>
        <w:rPr>
          <w:rFonts w:hint="default"/>
          <w:lang w:val="en-US" w:eastAsia="zh-CN"/>
        </w:rPr>
      </w:pPr>
    </w:p>
    <w:p>
      <w:pPr>
        <w:ind w:firstLine="594" w:firstLineChars="200"/>
        <w:rPr>
          <w:rFonts w:hint="eastAsia" w:ascii="仿宋_GB2312"/>
          <w:szCs w:val="32"/>
          <w:lang w:val="en-US" w:eastAsia="zh-CN"/>
        </w:rPr>
      </w:pPr>
      <w:r>
        <w:rPr>
          <w:rFonts w:hint="eastAsia"/>
          <w:lang w:val="en-US" w:eastAsia="zh-CN"/>
        </w:rPr>
        <w:t xml:space="preserve">               </w:t>
      </w:r>
      <w:r>
        <w:rPr>
          <w:rFonts w:hint="eastAsia" w:ascii="仿宋_GB2312"/>
          <w:szCs w:val="32"/>
          <w:lang w:val="en-US" w:eastAsia="zh-CN"/>
        </w:rPr>
        <w:t>昆明市呈贡区城市管理综合行政执法大队</w:t>
      </w:r>
    </w:p>
    <w:p>
      <w:pPr>
        <w:ind w:firstLine="594" w:firstLineChars="200"/>
        <w:rPr>
          <w:rFonts w:hint="default" w:ascii="仿宋_GB2312"/>
          <w:szCs w:val="32"/>
          <w:lang w:val="en-US" w:eastAsia="zh-CN"/>
        </w:rPr>
      </w:pPr>
      <w:r>
        <w:rPr>
          <w:rFonts w:hint="eastAsia" w:ascii="仿宋_GB2312"/>
          <w:szCs w:val="32"/>
          <w:lang w:val="en-US" w:eastAsia="zh-CN"/>
        </w:rPr>
        <w:t xml:space="preserve">                           2021年3月22</w:t>
      </w:r>
      <w:bookmarkStart w:id="0" w:name="_GoBack"/>
      <w:bookmarkEnd w:id="0"/>
      <w:r>
        <w:rPr>
          <w:rFonts w:hint="eastAsia" w:ascii="仿宋_GB2312"/>
          <w:szCs w:val="32"/>
          <w:lang w:val="en-US" w:eastAsia="zh-CN"/>
        </w:rPr>
        <w:t>日</w:t>
      </w:r>
    </w:p>
    <w:p>
      <w:pPr>
        <w:ind w:firstLine="593"/>
        <w:rPr>
          <w:rFonts w:hint="default"/>
          <w:lang w:val="en-US" w:eastAsia="zh-CN"/>
        </w:rPr>
      </w:pPr>
    </w:p>
    <w:sectPr>
      <w:pgSz w:w="11906" w:h="16838"/>
      <w:pgMar w:top="1723" w:right="1800" w:bottom="1723" w:left="1800" w:header="851" w:footer="992" w:gutter="0"/>
      <w:cols w:space="0" w:num="1"/>
      <w:rtlGutter w:val="0"/>
      <w:docGrid w:type="linesAndChars" w:linePitch="608" w:charSpace="-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48"/>
  <w:drawingGridVerticalSpacing w:val="304"/>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F263F"/>
    <w:rsid w:val="05AE36CA"/>
    <w:rsid w:val="06832F65"/>
    <w:rsid w:val="0865654A"/>
    <w:rsid w:val="208F228E"/>
    <w:rsid w:val="378A5996"/>
    <w:rsid w:val="5A3C6978"/>
    <w:rsid w:val="67600811"/>
    <w:rsid w:val="6F162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jyjcg</dc:creator>
  <cp:lastModifiedBy>Administrator</cp:lastModifiedBy>
  <cp:lastPrinted>2021-03-22T06:26:36Z</cp:lastPrinted>
  <dcterms:modified xsi:type="dcterms:W3CDTF">2021-03-22T06:26:39Z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