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eastAsia" w:ascii="黑体" w:eastAsia="黑体"/>
          <w:szCs w:val="32"/>
          <w:lang w:val="en-US" w:eastAsia="zh-CN"/>
        </w:rPr>
        <w:t>4-2</w:t>
      </w:r>
      <w:r>
        <w:rPr>
          <w:rFonts w:ascii="黑体" w:eastAsia="黑体"/>
          <w:szCs w:val="32"/>
        </w:rPr>
        <w:t>:</w:t>
      </w:r>
    </w:p>
    <w:p>
      <w:pPr>
        <w:rPr>
          <w:rFonts w:ascii="黑体" w:eastAsia="黑体"/>
          <w:szCs w:val="32"/>
        </w:rPr>
      </w:pPr>
    </w:p>
    <w:p>
      <w:pPr>
        <w:spacing w:line="600" w:lineRule="exact"/>
        <w:jc w:val="center"/>
        <w:rPr>
          <w:rFonts w:ascii="方正小标宋_GBK" w:eastAsia="方正小标宋_GBK"/>
          <w:sz w:val="36"/>
          <w:szCs w:val="36"/>
        </w:rPr>
      </w:pPr>
      <w:r>
        <w:rPr>
          <w:rFonts w:hint="eastAsia" w:ascii="方正小标宋_GBK" w:eastAsia="方正小标宋_GBK"/>
          <w:sz w:val="36"/>
          <w:szCs w:val="36"/>
          <w:lang w:eastAsia="zh-CN"/>
        </w:rPr>
        <w:t>呈贡区渣土场监测管理</w:t>
      </w:r>
      <w:r>
        <w:rPr>
          <w:rFonts w:hint="eastAsia" w:ascii="方正小标宋_GBK" w:eastAsia="方正小标宋_GBK"/>
          <w:sz w:val="36"/>
          <w:szCs w:val="36"/>
        </w:rPr>
        <w:t>项目支出绩效报告</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594" w:firstLineChars="200"/>
        <w:rPr>
          <w:rFonts w:hint="eastAsia" w:ascii="仿宋_GB2312"/>
          <w:szCs w:val="32"/>
        </w:rPr>
      </w:pPr>
      <w:r>
        <w:rPr>
          <w:rFonts w:hint="eastAsia" w:ascii="仿宋_GB2312"/>
          <w:szCs w:val="32"/>
        </w:rPr>
        <w:t>（一）项目基本情况简介</w:t>
      </w:r>
    </w:p>
    <w:p>
      <w:pPr>
        <w:topLinePunct/>
        <w:ind w:firstLine="594" w:firstLineChars="200"/>
        <w:rPr>
          <w:rFonts w:hint="eastAsia" w:ascii="仿宋_GB2312"/>
          <w:sz w:val="32"/>
          <w:szCs w:val="32"/>
          <w:lang w:eastAsia="zh-CN"/>
        </w:rPr>
      </w:pPr>
      <w:r>
        <w:rPr>
          <w:rFonts w:hint="eastAsia" w:ascii="仿宋_GB2312"/>
          <w:szCs w:val="32"/>
          <w:lang w:eastAsia="zh-CN"/>
        </w:rPr>
        <w:t>呈贡区渣土场监测管理项目，</w:t>
      </w:r>
      <w:r>
        <w:rPr>
          <w:rFonts w:hint="eastAsia" w:ascii="仿宋_GB2312"/>
          <w:sz w:val="32"/>
          <w:szCs w:val="32"/>
          <w:lang w:eastAsia="zh-CN"/>
        </w:rPr>
        <w:t>根据是昆明市人民政府办公厅文件（昆政办〔2016〕44号）《关于转发进一步规范全市建筑垃圾消纳场审批建设及安全监管实施意见的通知》的规定，组建消纳场专业监管团队，</w:t>
      </w:r>
      <w:r>
        <w:rPr>
          <w:rFonts w:hint="eastAsia" w:ascii="仿宋_GB2312"/>
          <w:sz w:val="32"/>
          <w:szCs w:val="32"/>
          <w:lang w:val="en-US" w:eastAsia="zh-CN"/>
        </w:rPr>
        <w:t>聘请专业技术机构协助消纳场管理工作</w:t>
      </w:r>
      <w:r>
        <w:rPr>
          <w:rFonts w:hint="eastAsia" w:ascii="仿宋_GB2312"/>
          <w:sz w:val="32"/>
          <w:szCs w:val="32"/>
          <w:lang w:eastAsia="zh-CN"/>
        </w:rPr>
        <w:t>。</w:t>
      </w:r>
    </w:p>
    <w:p>
      <w:pPr>
        <w:topLinePunct/>
        <w:ind w:firstLine="594" w:firstLineChars="200"/>
        <w:rPr>
          <w:rFonts w:hint="eastAsia" w:ascii="仿宋_GB2312"/>
          <w:sz w:val="32"/>
          <w:szCs w:val="32"/>
          <w:lang w:eastAsia="zh-CN"/>
        </w:rPr>
      </w:pPr>
      <w:r>
        <w:rPr>
          <w:rFonts w:hint="eastAsia" w:ascii="仿宋_GB2312"/>
          <w:sz w:val="32"/>
          <w:szCs w:val="32"/>
          <w:lang w:eastAsia="zh-CN"/>
        </w:rPr>
        <w:t>聘请专业技术机构协助消纳场管理工作，建立监测机</w:t>
      </w:r>
      <w:bookmarkStart w:id="0" w:name="_GoBack"/>
      <w:bookmarkEnd w:id="0"/>
      <w:r>
        <w:rPr>
          <w:rFonts w:hint="eastAsia" w:ascii="仿宋_GB2312"/>
          <w:sz w:val="32"/>
          <w:szCs w:val="32"/>
          <w:lang w:eastAsia="zh-CN"/>
        </w:rPr>
        <w:t>制，实施渣土场监测管理项目，</w:t>
      </w:r>
      <w:r>
        <w:rPr>
          <w:rFonts w:hint="eastAsia" w:ascii="仿宋_GB2312"/>
          <w:sz w:val="32"/>
          <w:szCs w:val="32"/>
          <w:lang w:val="en-US" w:eastAsia="zh-CN"/>
        </w:rPr>
        <w:t>对</w:t>
      </w:r>
      <w:r>
        <w:rPr>
          <w:rFonts w:hint="eastAsia" w:ascii="仿宋_GB2312"/>
          <w:sz w:val="32"/>
          <w:szCs w:val="32"/>
          <w:lang w:eastAsia="zh-CN"/>
        </w:rPr>
        <w:t>全区建筑垃圾（工程弃土）消纳场</w:t>
      </w:r>
      <w:r>
        <w:rPr>
          <w:rFonts w:hint="eastAsia" w:ascii="仿宋_GB2312"/>
          <w:sz w:val="32"/>
          <w:szCs w:val="32"/>
          <w:lang w:val="en-US" w:eastAsia="zh-CN"/>
        </w:rPr>
        <w:t>进行安全检查</w:t>
      </w:r>
      <w:r>
        <w:rPr>
          <w:rFonts w:hint="eastAsia" w:ascii="仿宋_GB2312"/>
          <w:sz w:val="32"/>
          <w:szCs w:val="32"/>
          <w:lang w:eastAsia="zh-CN"/>
        </w:rPr>
        <w:t>。解决消纳场经营单位执行填土设计情况缺乏准确监控，不能及时掌握消纳场防治设施建设情况，无法正确评价防治设施的功能及有效性，管理人员缺乏专业知识及经验，不能及时对地质灾害做出预警等突出问题。</w:t>
      </w:r>
    </w:p>
    <w:p>
      <w:pPr>
        <w:topLinePunct/>
        <w:ind w:firstLine="594" w:firstLineChars="200"/>
        <w:rPr>
          <w:rFonts w:hint="default" w:ascii="仿宋_GB2312"/>
          <w:sz w:val="32"/>
          <w:szCs w:val="32"/>
          <w:lang w:val="en-US" w:eastAsia="zh-CN"/>
        </w:rPr>
      </w:pPr>
      <w:r>
        <w:rPr>
          <w:rFonts w:hint="eastAsia" w:ascii="仿宋_GB2312"/>
          <w:sz w:val="32"/>
          <w:szCs w:val="32"/>
          <w:lang w:val="en-US" w:eastAsia="zh-CN"/>
        </w:rPr>
        <w:t>2020年通过竞争性谈判的政府采购方式，</w:t>
      </w:r>
      <w:r>
        <w:rPr>
          <w:rFonts w:hint="eastAsia" w:ascii="仿宋_GB2312"/>
          <w:sz w:val="32"/>
          <w:szCs w:val="32"/>
          <w:lang w:eastAsia="zh-CN"/>
        </w:rPr>
        <w:t>聘请云南安益安全评价有限公司</w:t>
      </w:r>
      <w:r>
        <w:rPr>
          <w:rFonts w:hint="eastAsia" w:ascii="仿宋_GB2312"/>
          <w:sz w:val="32"/>
          <w:szCs w:val="32"/>
          <w:lang w:val="en-US" w:eastAsia="zh-CN"/>
        </w:rPr>
        <w:t>协助开展消纳场</w:t>
      </w:r>
      <w:r>
        <w:rPr>
          <w:rFonts w:hint="eastAsia" w:ascii="仿宋_GB2312"/>
          <w:sz w:val="32"/>
          <w:szCs w:val="32"/>
          <w:lang w:eastAsia="zh-CN"/>
        </w:rPr>
        <w:t>管理工作。</w:t>
      </w:r>
    </w:p>
    <w:p>
      <w:pPr>
        <w:numPr>
          <w:ilvl w:val="0"/>
          <w:numId w:val="1"/>
        </w:numPr>
        <w:topLinePunct/>
        <w:ind w:firstLine="594" w:firstLineChars="200"/>
        <w:rPr>
          <w:rFonts w:hint="eastAsia" w:ascii="仿宋_GB2312"/>
          <w:szCs w:val="32"/>
        </w:rPr>
      </w:pPr>
      <w:r>
        <w:rPr>
          <w:rFonts w:hint="eastAsia" w:ascii="仿宋_GB2312"/>
          <w:szCs w:val="32"/>
        </w:rPr>
        <w:t>绩效目标设定及指标完成情况</w:t>
      </w:r>
    </w:p>
    <w:p>
      <w:pPr>
        <w:widowControl w:val="0"/>
        <w:numPr>
          <w:ilvl w:val="0"/>
          <w:numId w:val="0"/>
        </w:numPr>
        <w:topLinePunct/>
        <w:ind w:firstLine="594" w:firstLineChars="200"/>
        <w:jc w:val="both"/>
        <w:rPr>
          <w:rFonts w:hint="eastAsia" w:ascii="仿宋_GB2312"/>
          <w:szCs w:val="32"/>
        </w:rPr>
      </w:pPr>
      <w:r>
        <w:rPr>
          <w:rFonts w:hint="eastAsia" w:ascii="仿宋_GB2312"/>
          <w:szCs w:val="32"/>
          <w:lang w:eastAsia="zh-CN"/>
        </w:rPr>
        <w:t>呈贡区渣土场监测管理项目</w:t>
      </w:r>
      <w:r>
        <w:rPr>
          <w:rFonts w:hint="eastAsia" w:ascii="仿宋_GB2312"/>
          <w:szCs w:val="32"/>
          <w:lang w:val="en-US" w:eastAsia="zh-CN"/>
        </w:rPr>
        <w:t>本身不产生经济效益，通过</w:t>
      </w:r>
      <w:r>
        <w:rPr>
          <w:rFonts w:hint="eastAsia" w:ascii="仿宋_GB2312"/>
          <w:sz w:val="32"/>
          <w:szCs w:val="32"/>
          <w:lang w:eastAsia="zh-CN"/>
        </w:rPr>
        <w:t>聘请专业技术机构协助消纳场管理工作，组建消纳场专业监管团队，</w:t>
      </w:r>
      <w:r>
        <w:rPr>
          <w:rFonts w:hint="eastAsia" w:ascii="仿宋_GB2312"/>
          <w:szCs w:val="32"/>
          <w:lang w:val="en-US" w:eastAsia="zh-CN"/>
        </w:rPr>
        <w:t>做好全区弃土消纳场安全生产工作，有效的防范和坚决遏制各类安全生产事故的发生，同时对我局在渣土场监管过程中提出了阶段性管理意见。</w:t>
      </w:r>
    </w:p>
    <w:p>
      <w:pPr>
        <w:topLinePunct/>
        <w:ind w:firstLine="594" w:firstLineChars="200"/>
        <w:rPr>
          <w:rFonts w:hint="eastAsia" w:ascii="黑体" w:eastAsia="黑体"/>
          <w:szCs w:val="32"/>
        </w:rPr>
      </w:pPr>
      <w:r>
        <w:rPr>
          <w:rFonts w:hint="eastAsia" w:ascii="黑体" w:eastAsia="黑体"/>
          <w:szCs w:val="32"/>
        </w:rPr>
        <w:t>二、</w:t>
      </w:r>
      <w:r>
        <w:rPr>
          <w:rFonts w:hint="eastAsia" w:ascii="黑体" w:eastAsia="黑体"/>
          <w:szCs w:val="32"/>
          <w:lang w:eastAsia="zh-CN"/>
        </w:rPr>
        <w:t>项目资金使用及管理情况</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594" w:firstLineChars="200"/>
        <w:jc w:val="both"/>
        <w:textAlignment w:val="auto"/>
        <w:outlineLvl w:val="9"/>
        <w:rPr>
          <w:rFonts w:hint="default" w:ascii="仿宋_GB2312" w:hAnsi="仿宋_GB2312" w:eastAsia="仿宋_GB2312" w:cs="仿宋_GB2312"/>
          <w:szCs w:val="32"/>
          <w:lang w:val="en-US"/>
        </w:rPr>
      </w:pPr>
      <w:r>
        <w:rPr>
          <w:rFonts w:hint="eastAsia" w:ascii="仿宋_GB2312" w:hAnsi="仿宋_GB2312" w:eastAsia="仿宋_GB2312" w:cs="仿宋_GB2312"/>
          <w:szCs w:val="32"/>
        </w:rPr>
        <w:t>项目资金</w:t>
      </w:r>
      <w:r>
        <w:rPr>
          <w:rFonts w:hint="eastAsia" w:ascii="仿宋_GB2312" w:hAnsi="仿宋_GB2312" w:cs="仿宋_GB2312"/>
          <w:szCs w:val="32"/>
          <w:lang w:val="en-US" w:eastAsia="zh-CN"/>
        </w:rPr>
        <w:t>29.8万元，属于公共财政预算资金。2020年通过竞争性谈判的政府采购方式确定了第三方服务机构，按照中标价格确定合同价款为29.8万元，2020年已实际支付29.8万元，专款专用，按时完成支付。</w:t>
      </w:r>
    </w:p>
    <w:p>
      <w:pPr>
        <w:topLinePunct/>
        <w:ind w:firstLine="594" w:firstLineChars="200"/>
        <w:rPr>
          <w:rFonts w:hint="eastAsia" w:ascii="黑体" w:eastAsia="黑体"/>
          <w:szCs w:val="32"/>
          <w:lang w:eastAsia="zh-CN"/>
        </w:rPr>
      </w:pPr>
      <w:r>
        <w:rPr>
          <w:rFonts w:hint="eastAsia" w:ascii="黑体" w:eastAsia="黑体"/>
          <w:szCs w:val="32"/>
          <w:lang w:eastAsia="zh-CN"/>
        </w:rPr>
        <w:t>三、项目组织实施情况</w:t>
      </w:r>
    </w:p>
    <w:p>
      <w:pPr>
        <w:keepNext w:val="0"/>
        <w:keepLines w:val="0"/>
        <w:pageBreakBefore w:val="0"/>
        <w:widowControl w:val="0"/>
        <w:kinsoku/>
        <w:wordWrap/>
        <w:overflowPunct/>
        <w:topLinePunct w:val="0"/>
        <w:autoSpaceDE/>
        <w:autoSpaceDN/>
        <w:bidi w:val="0"/>
        <w:adjustRightInd/>
        <w:snapToGrid/>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Cs w:val="32"/>
          <w:lang w:val="en-US" w:eastAsia="zh-CN"/>
        </w:rPr>
        <w:t>前期在</w:t>
      </w:r>
      <w:r>
        <w:rPr>
          <w:rFonts w:hint="eastAsia" w:ascii="仿宋_GB2312" w:hAnsi="仿宋_GB2312" w:eastAsia="仿宋_GB2312" w:cs="仿宋_GB2312"/>
          <w:sz w:val="32"/>
          <w:szCs w:val="32"/>
          <w:lang w:eastAsia="zh-CN"/>
        </w:rPr>
        <w:t>云南省政府采购管理系统中</w:t>
      </w:r>
      <w:r>
        <w:rPr>
          <w:rFonts w:hint="eastAsia" w:ascii="仿宋_GB2312" w:hAnsi="仿宋_GB2312" w:cs="仿宋_GB2312"/>
          <w:sz w:val="32"/>
          <w:szCs w:val="32"/>
          <w:lang w:val="en-US" w:eastAsia="zh-CN"/>
        </w:rPr>
        <w:t>确定</w:t>
      </w:r>
      <w:r>
        <w:rPr>
          <w:rFonts w:hint="eastAsia" w:ascii="仿宋_GB2312" w:hAnsi="仿宋_GB2312" w:eastAsia="仿宋_GB2312" w:cs="仿宋_GB2312"/>
          <w:sz w:val="32"/>
          <w:szCs w:val="32"/>
          <w:lang w:eastAsia="zh-CN"/>
        </w:rPr>
        <w:t>采购代理机构</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按照</w:t>
      </w:r>
      <w:r>
        <w:rPr>
          <w:rFonts w:hint="eastAsia" w:ascii="仿宋_GB2312"/>
          <w:sz w:val="32"/>
          <w:szCs w:val="32"/>
          <w:lang w:eastAsia="zh-CN"/>
        </w:rPr>
        <w:t>昆明市人民政府办公厅文件（昆政办〔2016〕44号）《关于转发进一步规范全市建筑垃圾消纳场审批建设及安全监管实施意见的通知》的规定</w:t>
      </w:r>
      <w:r>
        <w:rPr>
          <w:rFonts w:hint="eastAsia" w:ascii="仿宋_GB2312"/>
          <w:sz w:val="32"/>
          <w:szCs w:val="32"/>
          <w:lang w:val="en-US" w:eastAsia="zh-CN"/>
        </w:rPr>
        <w:t>拟定采购需求，进行招标采购。采用竞争性谈判的方式确定</w:t>
      </w:r>
      <w:r>
        <w:rPr>
          <w:rFonts w:hint="eastAsia" w:ascii="仿宋_GB2312" w:hAnsi="仿宋_GB2312" w:eastAsia="仿宋_GB2312" w:cs="仿宋_GB2312"/>
          <w:sz w:val="32"/>
          <w:szCs w:val="32"/>
          <w:lang w:eastAsia="zh-CN"/>
        </w:rPr>
        <w:t>第三方专业技术服务机构。在参与竞争性谈判的公司中，</w:t>
      </w:r>
      <w:r>
        <w:rPr>
          <w:rFonts w:hint="eastAsia" w:ascii="仿宋_GB2312" w:hAnsi="仿宋_GB2312" w:eastAsia="仿宋_GB2312" w:cs="仿宋_GB2312"/>
          <w:sz w:val="32"/>
          <w:szCs w:val="32"/>
          <w:lang w:val="en-US" w:eastAsia="zh-CN"/>
        </w:rPr>
        <w:t>云南安益安全评价有限公司以29</w:t>
      </w:r>
      <w:r>
        <w:rPr>
          <w:rFonts w:hint="eastAsia" w:ascii="仿宋_GB2312" w:hAnsi="仿宋_GB2312" w:cs="仿宋_GB2312"/>
          <w:sz w:val="32"/>
          <w:szCs w:val="32"/>
          <w:lang w:val="en-US" w:eastAsia="zh-CN"/>
        </w:rPr>
        <w:t>.8万</w:t>
      </w:r>
      <w:r>
        <w:rPr>
          <w:rFonts w:hint="eastAsia" w:ascii="仿宋_GB2312" w:hAnsi="仿宋_GB2312" w:eastAsia="仿宋_GB2312" w:cs="仿宋_GB2312"/>
          <w:sz w:val="32"/>
          <w:szCs w:val="32"/>
          <w:lang w:val="en-US" w:eastAsia="zh-CN"/>
        </w:rPr>
        <w:t>元的服务费中标，确定其为我局提供协助消纳场管理</w:t>
      </w:r>
      <w:r>
        <w:rPr>
          <w:rFonts w:hint="eastAsia" w:ascii="仿宋_GB2312" w:hAnsi="仿宋_GB2312" w:eastAsia="仿宋_GB2312" w:cs="仿宋_GB2312"/>
          <w:sz w:val="32"/>
          <w:szCs w:val="32"/>
          <w:lang w:eastAsia="zh-CN"/>
        </w:rPr>
        <w:t>专业技术</w:t>
      </w:r>
      <w:r>
        <w:rPr>
          <w:rFonts w:hint="eastAsia" w:ascii="仿宋_GB2312" w:hAnsi="仿宋_GB2312" w:eastAsia="仿宋_GB2312" w:cs="仿宋_GB2312"/>
          <w:sz w:val="32"/>
          <w:szCs w:val="32"/>
          <w:lang w:val="en-US" w:eastAsia="zh-CN"/>
        </w:rPr>
        <w:t>服务。</w:t>
      </w:r>
    </w:p>
    <w:p>
      <w:pPr>
        <w:topLinePunct/>
        <w:ind w:firstLine="594" w:firstLineChars="2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该项目实施后，</w:t>
      </w:r>
      <w:r>
        <w:rPr>
          <w:rFonts w:hint="eastAsia" w:ascii="仿宋_GB2312" w:hAnsi="仿宋_GB2312" w:eastAsia="仿宋_GB2312" w:cs="仿宋_GB2312"/>
          <w:sz w:val="32"/>
          <w:szCs w:val="32"/>
          <w:lang w:eastAsia="zh-CN"/>
        </w:rPr>
        <w:t>第三方专业技术服务机构</w:t>
      </w:r>
      <w:r>
        <w:rPr>
          <w:rFonts w:hint="eastAsia" w:ascii="仿宋_GB2312" w:hAnsi="仿宋_GB2312" w:cs="仿宋_GB2312"/>
          <w:sz w:val="32"/>
          <w:szCs w:val="32"/>
          <w:lang w:val="en-US" w:eastAsia="zh-CN"/>
        </w:rPr>
        <w:t>每月向我局提供渣土场隐患排查意见。</w:t>
      </w:r>
    </w:p>
    <w:p>
      <w:pPr>
        <w:topLinePunct/>
        <w:ind w:firstLine="594" w:firstLineChars="200"/>
        <w:rPr>
          <w:rFonts w:ascii="黑体" w:eastAsia="黑体"/>
          <w:szCs w:val="32"/>
        </w:rPr>
      </w:pPr>
      <w:r>
        <w:rPr>
          <w:rFonts w:hint="eastAsia" w:ascii="黑体" w:eastAsia="黑体"/>
          <w:szCs w:val="32"/>
          <w:lang w:eastAsia="zh-CN"/>
        </w:rPr>
        <w:t>四</w:t>
      </w:r>
      <w:r>
        <w:rPr>
          <w:rFonts w:hint="eastAsia" w:ascii="黑体" w:eastAsia="黑体"/>
          <w:szCs w:val="32"/>
        </w:rPr>
        <w:t>、项目绩效情况</w:t>
      </w:r>
    </w:p>
    <w:p>
      <w:pPr>
        <w:widowControl w:val="0"/>
        <w:numPr>
          <w:ilvl w:val="0"/>
          <w:numId w:val="0"/>
        </w:numPr>
        <w:topLinePunct/>
        <w:ind w:firstLine="593"/>
        <w:jc w:val="both"/>
        <w:rPr>
          <w:rFonts w:hint="eastAsia" w:ascii="仿宋_GB2312"/>
          <w:szCs w:val="32"/>
          <w:lang w:val="en-US" w:eastAsia="zh-CN"/>
        </w:rPr>
      </w:pPr>
      <w:r>
        <w:rPr>
          <w:rFonts w:hint="eastAsia" w:ascii="仿宋_GB2312"/>
          <w:szCs w:val="32"/>
          <w:lang w:eastAsia="zh-CN"/>
        </w:rPr>
        <w:t>呈贡区渣土场监测管理项目</w:t>
      </w:r>
      <w:r>
        <w:rPr>
          <w:rFonts w:hint="eastAsia" w:ascii="仿宋_GB2312"/>
          <w:szCs w:val="32"/>
          <w:lang w:val="en-US" w:eastAsia="zh-CN"/>
        </w:rPr>
        <w:t>预算资金为30万元，通过政府采购方式最后确定服务价款为29.8万元，调整预算0.2万元。预算调整资金较小，预算波动较低，实际支付的项目资金未超过30万元，控制了项目成本。</w:t>
      </w:r>
    </w:p>
    <w:p>
      <w:pPr>
        <w:topLinePunct/>
        <w:ind w:firstLine="594" w:firstLineChars="200"/>
        <w:rPr>
          <w:rFonts w:hint="default" w:ascii="仿宋_GB2312"/>
          <w:szCs w:val="32"/>
          <w:lang w:val="en-US" w:eastAsia="zh-CN"/>
        </w:rPr>
      </w:pPr>
      <w:r>
        <w:rPr>
          <w:rFonts w:hint="eastAsia" w:ascii="仿宋_GB2312"/>
          <w:sz w:val="32"/>
          <w:szCs w:val="32"/>
          <w:lang w:val="en-US" w:eastAsia="zh-CN"/>
        </w:rPr>
        <w:t>该项目的实施</w:t>
      </w:r>
      <w:r>
        <w:rPr>
          <w:rFonts w:hint="eastAsia" w:ascii="仿宋_GB2312"/>
          <w:sz w:val="32"/>
          <w:szCs w:val="32"/>
          <w:lang w:eastAsia="zh-CN"/>
        </w:rPr>
        <w:t>解决消纳场经营单位执行填土设计情况缺乏准确监控，不能及时掌握消纳场防治设施建设情况，无法正确评价防治设施的功能及有效性，管理人员缺乏专业知识及经验，不能及时对地质灾害做出预警等突出问题，</w:t>
      </w:r>
      <w:r>
        <w:rPr>
          <w:rFonts w:hint="eastAsia" w:ascii="仿宋_GB2312"/>
          <w:sz w:val="32"/>
          <w:szCs w:val="32"/>
          <w:lang w:val="en-US" w:eastAsia="zh-CN"/>
        </w:rPr>
        <w:t>具有可持续实施的意见。项目本身不产生经济效益。</w:t>
      </w:r>
    </w:p>
    <w:p>
      <w:pPr>
        <w:topLinePunct/>
        <w:ind w:firstLine="594" w:firstLineChars="200"/>
        <w:rPr>
          <w:rFonts w:ascii="黑体" w:eastAsia="黑体"/>
          <w:szCs w:val="32"/>
        </w:rPr>
      </w:pPr>
      <w:r>
        <w:rPr>
          <w:rFonts w:hint="eastAsia" w:ascii="黑体" w:eastAsia="黑体"/>
          <w:szCs w:val="32"/>
          <w:lang w:eastAsia="zh-CN"/>
        </w:rPr>
        <w:t>五</w:t>
      </w:r>
      <w:r>
        <w:rPr>
          <w:rFonts w:hint="eastAsia" w:ascii="黑体" w:eastAsia="黑体"/>
          <w:szCs w:val="32"/>
        </w:rPr>
        <w:t>、存在的问题</w:t>
      </w:r>
    </w:p>
    <w:p>
      <w:pPr>
        <w:topLinePunct/>
        <w:ind w:firstLine="594" w:firstLineChars="200"/>
        <w:rPr>
          <w:rFonts w:hint="eastAsia" w:ascii="仿宋_GB2312"/>
          <w:sz w:val="32"/>
          <w:szCs w:val="32"/>
          <w:lang w:val="en-US" w:eastAsia="zh-CN"/>
        </w:rPr>
      </w:pPr>
      <w:r>
        <w:rPr>
          <w:rFonts w:hint="eastAsia" w:ascii="仿宋_GB2312"/>
          <w:szCs w:val="32"/>
          <w:lang w:val="en-US" w:eastAsia="zh-CN"/>
        </w:rPr>
        <w:t>该项目的立项依据是</w:t>
      </w:r>
      <w:r>
        <w:rPr>
          <w:rFonts w:hint="eastAsia" w:ascii="仿宋_GB2312"/>
          <w:sz w:val="32"/>
          <w:szCs w:val="32"/>
          <w:lang w:eastAsia="zh-CN"/>
        </w:rPr>
        <w:t>昆明市人民政府办公厅文件（昆政办〔2016〕44号）《关于转发进一步规范全市建筑垃圾消纳场审批建设及安全监管实施意见的通知》的规定，</w:t>
      </w:r>
      <w:r>
        <w:rPr>
          <w:rFonts w:hint="eastAsia" w:ascii="仿宋_GB2312"/>
          <w:sz w:val="32"/>
          <w:szCs w:val="32"/>
          <w:lang w:val="en-US" w:eastAsia="zh-CN"/>
        </w:rPr>
        <w:t>资金专款专用。确定聘请的机构及价格后，及时拨付资金，并一次性拨付到位，不存在滞留现象。资金使用合规，不滞留。</w:t>
      </w:r>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topLinePunct/>
        <w:ind w:firstLine="594" w:firstLineChars="200"/>
        <w:rPr>
          <w:rFonts w:hint="default" w:ascii="仿宋_GB2312" w:eastAsia="仿宋_GB2312"/>
          <w:szCs w:val="32"/>
          <w:lang w:val="en-US" w:eastAsia="zh-CN"/>
        </w:rPr>
      </w:pPr>
      <w:r>
        <w:rPr>
          <w:rFonts w:hint="eastAsia" w:ascii="仿宋_GB2312"/>
          <w:szCs w:val="32"/>
          <w:lang w:val="en-US" w:eastAsia="zh-CN"/>
        </w:rPr>
        <w:t>严格按照资金使用及拨付规定，及时拨付资金。</w:t>
      </w:r>
    </w:p>
    <w:p>
      <w:pPr>
        <w:ind w:firstLine="593"/>
        <w:rPr>
          <w:rFonts w:hint="eastAsia" w:ascii="仿宋_GB2312" w:hAnsi="仿宋_GB2312" w:cs="仿宋_GB2312"/>
          <w:sz w:val="32"/>
          <w:szCs w:val="32"/>
          <w:lang w:val="en-US" w:eastAsia="zh-CN"/>
        </w:rPr>
      </w:pPr>
      <w:r>
        <w:rPr>
          <w:rFonts w:hint="eastAsia"/>
          <w:lang w:val="en-US" w:eastAsia="zh-CN"/>
        </w:rPr>
        <w:t>2020年实施呈贡区渣土场监测管理项目，通过</w:t>
      </w:r>
      <w:r>
        <w:rPr>
          <w:rFonts w:hint="eastAsia" w:ascii="仿宋_GB2312" w:hAnsi="仿宋_GB2312" w:eastAsia="仿宋_GB2312" w:cs="仿宋_GB2312"/>
          <w:sz w:val="32"/>
          <w:szCs w:val="32"/>
          <w:lang w:eastAsia="zh-CN"/>
        </w:rPr>
        <w:t>在云南省政府采购管理系统中开展呈贡区渣土场监测项目</w:t>
      </w:r>
      <w:r>
        <w:rPr>
          <w:rFonts w:hint="eastAsia" w:ascii="仿宋_GB2312" w:hAnsi="仿宋_GB2312" w:eastAsia="仿宋_GB2312" w:cs="仿宋_GB2312"/>
          <w:sz w:val="32"/>
          <w:szCs w:val="32"/>
          <w:lang w:val="en-US" w:eastAsia="zh-CN"/>
        </w:rPr>
        <w:t>-协助消纳场管理专业技术服务采购工作，</w:t>
      </w:r>
      <w:r>
        <w:rPr>
          <w:rFonts w:hint="eastAsia" w:ascii="仿宋_GB2312" w:hAnsi="仿宋_GB2312" w:eastAsia="仿宋_GB2312" w:cs="仿宋_GB2312"/>
          <w:sz w:val="32"/>
          <w:szCs w:val="32"/>
          <w:lang w:eastAsia="zh-CN"/>
        </w:rPr>
        <w:t>采用竞争性谈判的采购方式确定第三方专业技术服务机构。</w:t>
      </w:r>
      <w:r>
        <w:rPr>
          <w:rFonts w:hint="eastAsia" w:ascii="仿宋_GB2312" w:hAnsi="仿宋_GB2312" w:cs="仿宋_GB2312"/>
          <w:sz w:val="32"/>
          <w:szCs w:val="32"/>
          <w:lang w:val="en-US" w:eastAsia="zh-CN"/>
        </w:rPr>
        <w:t>整个过程公开、公平、公正、透明，为2021年实施该项目提供了经验。</w:t>
      </w:r>
    </w:p>
    <w:p>
      <w:pPr>
        <w:ind w:firstLine="593"/>
        <w:rPr>
          <w:rFonts w:hint="eastAsia" w:ascii="仿宋_GB2312" w:hAnsi="仿宋_GB2312" w:cs="仿宋_GB2312"/>
          <w:sz w:val="32"/>
          <w:szCs w:val="32"/>
          <w:lang w:val="en-US" w:eastAsia="zh-CN"/>
        </w:rPr>
      </w:pPr>
    </w:p>
    <w:p>
      <w:pPr>
        <w:jc w:val="right"/>
        <w:rPr>
          <w:rFonts w:hint="eastAsia"/>
          <w:lang w:val="en-US" w:eastAsia="zh-CN"/>
        </w:rPr>
      </w:pPr>
      <w:r>
        <w:rPr>
          <w:rFonts w:hint="eastAsia"/>
          <w:lang w:val="en-US" w:eastAsia="zh-CN"/>
        </w:rPr>
        <w:t>昆明市呈贡区城市管理综合行政执法大队渣管办</w:t>
      </w:r>
    </w:p>
    <w:p>
      <w:pPr>
        <w:jc w:val="center"/>
        <w:rPr>
          <w:rFonts w:hint="default"/>
          <w:lang w:val="en-US" w:eastAsia="zh-CN"/>
        </w:rPr>
      </w:pPr>
      <w:r>
        <w:rPr>
          <w:rFonts w:hint="eastAsia"/>
          <w:lang w:val="en-US" w:eastAsia="zh-CN"/>
        </w:rPr>
        <w:t xml:space="preserve">          2021年3月5日</w:t>
      </w:r>
    </w:p>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086DB"/>
    <w:multiLevelType w:val="singleLevel"/>
    <w:tmpl w:val="24B086D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E36CA"/>
    <w:rsid w:val="1AD83C11"/>
    <w:rsid w:val="28BD0702"/>
    <w:rsid w:val="373A2E04"/>
    <w:rsid w:val="378A5996"/>
    <w:rsid w:val="3FCD7087"/>
    <w:rsid w:val="54364AD5"/>
    <w:rsid w:val="5A3C6978"/>
    <w:rsid w:val="5B2B69EF"/>
    <w:rsid w:val="67600811"/>
    <w:rsid w:val="6F5B5169"/>
    <w:rsid w:val="72546A65"/>
    <w:rsid w:val="7DC0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何禾</cp:lastModifiedBy>
  <dcterms:modified xsi:type="dcterms:W3CDTF">2021-03-23T06:57:50Z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