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p>
    <w:p>
      <w:pPr>
        <w:rPr>
          <w:rFonts w:ascii="黑体" w:eastAsia="黑体"/>
          <w:szCs w:val="32"/>
        </w:rPr>
      </w:pPr>
    </w:p>
    <w:p>
      <w:pPr>
        <w:spacing w:line="600" w:lineRule="exact"/>
        <w:jc w:val="center"/>
        <w:rPr>
          <w:rFonts w:ascii="方正小标宋_GBK" w:eastAsia="方正小标宋_GBK"/>
          <w:sz w:val="36"/>
          <w:szCs w:val="36"/>
        </w:rPr>
      </w:pPr>
      <w:r>
        <w:rPr>
          <w:rFonts w:hint="eastAsia" w:ascii="方正小标宋_GBK" w:eastAsia="方正小标宋_GBK"/>
          <w:sz w:val="36"/>
          <w:szCs w:val="36"/>
          <w:lang w:eastAsia="zh-CN"/>
        </w:rPr>
        <w:t>“</w:t>
      </w:r>
      <w:r>
        <w:rPr>
          <w:rFonts w:hint="eastAsia" w:ascii="方正小标宋_GBK" w:eastAsia="方正小标宋_GBK"/>
          <w:sz w:val="36"/>
          <w:szCs w:val="36"/>
          <w:lang w:val="en-US" w:eastAsia="zh-CN"/>
        </w:rPr>
        <w:t>城市管理辅助用车服务</w:t>
      </w:r>
      <w:r>
        <w:rPr>
          <w:rFonts w:hint="eastAsia" w:ascii="方正小标宋_GBK" w:eastAsia="方正小标宋_GBK"/>
          <w:sz w:val="36"/>
          <w:szCs w:val="36"/>
          <w:lang w:eastAsia="zh-CN"/>
        </w:rPr>
        <w:t>”</w:t>
      </w:r>
      <w:r>
        <w:rPr>
          <w:rFonts w:hint="eastAsia" w:ascii="方正小标宋_GBK" w:eastAsia="方正小标宋_GBK"/>
          <w:sz w:val="36"/>
          <w:szCs w:val="36"/>
        </w:rPr>
        <w:t>项目支出绩效报告</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spacing w:line="600" w:lineRule="exact"/>
        <w:ind w:left="0" w:firstLine="594" w:firstLineChars="200"/>
        <w:rPr>
          <w:rFonts w:hint="eastAsia" w:ascii="仿宋_GB2312" w:hAnsi="仿宋_GB2312" w:eastAsia="仿宋_GB2312" w:cs="仿宋_GB2312"/>
          <w:color w:val="auto"/>
          <w:sz w:val="32"/>
          <w:szCs w:val="32"/>
          <w:lang w:eastAsia="zh-CN"/>
        </w:rPr>
      </w:pPr>
      <w:r>
        <w:rPr>
          <w:rFonts w:hint="eastAsia" w:ascii="仿宋_GB2312"/>
          <w:szCs w:val="32"/>
        </w:rPr>
        <w:t>（一）</w:t>
      </w:r>
      <w:r>
        <w:rPr>
          <w:rFonts w:hint="eastAsia" w:ascii="仿宋_GB2312" w:hAnsi="仿宋_GB2312" w:eastAsia="仿宋_GB2312" w:cs="仿宋_GB2312"/>
          <w:sz w:val="32"/>
          <w:szCs w:val="32"/>
        </w:rPr>
        <w:t>目前，区城市管理局执法大队共有执法机动车辆6辆，都存在机械老化和车况不良等情况，各街道中队无工作车辆，用车依靠电瓶车，车辆严重不足，已影响我局城市管理工作开展</w:t>
      </w:r>
      <w:r>
        <w:rPr>
          <w:rFonts w:hint="eastAsia" w:ascii="仿宋_GB2312" w:hAnsi="仿宋_GB2312" w:cs="仿宋_GB2312"/>
          <w:sz w:val="32"/>
          <w:szCs w:val="32"/>
          <w:lang w:eastAsia="zh-CN"/>
        </w:rPr>
        <w:t>。</w:t>
      </w:r>
      <w:r>
        <w:rPr>
          <w:rFonts w:hint="eastAsia" w:ascii="仿宋_GB2312" w:hAnsi="仿宋" w:eastAsia="仿宋_GB2312" w:cs="仿宋_GB2312"/>
          <w:sz w:val="32"/>
          <w:szCs w:val="32"/>
        </w:rPr>
        <w:t>为满足区城市管理局车辆使用需求，切实改善车辆紧缺的情况，确保城市管理工作正常开展，根据政府采购政策要求，</w:t>
      </w:r>
      <w:r>
        <w:rPr>
          <w:rFonts w:hint="eastAsia" w:ascii="仿宋_GB2312" w:hAnsi="仿宋_GB2312" w:eastAsia="仿宋_GB2312" w:cs="仿宋_GB2312"/>
          <w:color w:val="auto"/>
          <w:sz w:val="32"/>
          <w:szCs w:val="32"/>
        </w:rPr>
        <w:t>区城市管理局拟以购买服务方式解决开展城市管理工作辅助用车需求，所需车辆46辆，购买服务</w:t>
      </w:r>
      <w:r>
        <w:rPr>
          <w:rFonts w:hint="eastAsia" w:ascii="仿宋_GB2312" w:hAnsi="仿宋_GB2312" w:eastAsia="仿宋_GB2312" w:cs="仿宋_GB2312"/>
          <w:sz w:val="32"/>
          <w:szCs w:val="32"/>
        </w:rPr>
        <w:t>期限3年，</w:t>
      </w:r>
      <w:r>
        <w:rPr>
          <w:rFonts w:hint="eastAsia" w:ascii="仿宋_GB2312" w:hAnsi="仿宋_GB2312" w:eastAsia="仿宋_GB2312" w:cs="仿宋_GB2312"/>
          <w:color w:val="auto"/>
          <w:sz w:val="32"/>
          <w:szCs w:val="32"/>
        </w:rPr>
        <w:t>计划从2020年1月--2023年1月，具体费用：2020年1月至2023年1月。</w:t>
      </w:r>
    </w:p>
    <w:p>
      <w:pPr>
        <w:topLinePunct/>
        <w:ind w:firstLine="594" w:firstLineChars="200"/>
        <w:rPr>
          <w:rFonts w:hint="eastAsia" w:ascii="仿宋_GB2312"/>
          <w:szCs w:val="32"/>
        </w:rPr>
      </w:pPr>
      <w:r>
        <w:rPr>
          <w:rFonts w:hint="eastAsia" w:ascii="仿宋_GB2312"/>
          <w:szCs w:val="32"/>
        </w:rPr>
        <w:t>（二）绩效目标设定及指标完成情况。</w:t>
      </w:r>
    </w:p>
    <w:p>
      <w:pPr>
        <w:topLinePunct/>
        <w:ind w:firstLine="59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城市管理辅助用车服务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sz w:val="32"/>
          <w:szCs w:val="32"/>
          <w:lang w:val="en-US" w:eastAsia="zh-CN"/>
        </w:rPr>
        <w:t>绩效目标设定应达到解决呈贡区城市管理局城管执法用车困难并设定相对应的绩效指标，经过一系列严格实施，该项目已高质量完成并达到目标设定值。</w:t>
      </w: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keepNext w:val="0"/>
        <w:keepLines w:val="0"/>
        <w:pageBreakBefore w:val="0"/>
        <w:widowControl w:val="0"/>
        <w:kinsoku/>
        <w:wordWrap/>
        <w:overflowPunct/>
        <w:topLinePunct/>
        <w:autoSpaceDE/>
        <w:autoSpaceDN/>
        <w:bidi w:val="0"/>
        <w:adjustRightInd/>
        <w:snapToGrid/>
        <w:spacing w:line="240" w:lineRule="auto"/>
        <w:ind w:right="0" w:rightChars="0" w:firstLine="297" w:firstLineChars="1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城市管理辅助用车服务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sz w:val="32"/>
          <w:szCs w:val="32"/>
          <w:lang w:val="en-US" w:eastAsia="zh-CN"/>
        </w:rPr>
        <w:t>年初预算</w:t>
      </w:r>
      <w:r>
        <w:rPr>
          <w:rFonts w:hint="eastAsia" w:ascii="仿宋_GB2312" w:hAnsi="仿宋_GB2312" w:eastAsia="仿宋_GB2312" w:cs="仿宋_GB2312"/>
          <w:color w:val="auto"/>
          <w:sz w:val="32"/>
          <w:szCs w:val="32"/>
        </w:rPr>
        <w:t>为人民币450万元/年</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通过公开招投标形式购买服务，最终中标单位为呈贡区城市投资集团，招标期限为三年，中标价为420万元/年，该项目总运行1260.00万元，政府采购节约资金30万元/年，节约率为6.67%。2020年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城市管理辅助用车服务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sz w:val="32"/>
          <w:szCs w:val="32"/>
          <w:lang w:val="en-US" w:eastAsia="zh-CN"/>
        </w:rPr>
        <w:t>第一年费用420万元/年经过上局办公会讨论研究并按照合同约定实现支出。</w:t>
      </w:r>
    </w:p>
    <w:p>
      <w:pPr>
        <w:numPr>
          <w:ilvl w:val="0"/>
          <w:numId w:val="1"/>
        </w:numPr>
        <w:topLinePunct/>
        <w:ind w:firstLine="594" w:firstLineChars="200"/>
        <w:rPr>
          <w:rFonts w:hint="eastAsia" w:ascii="黑体" w:eastAsia="黑体"/>
          <w:szCs w:val="32"/>
          <w:lang w:eastAsia="zh-CN"/>
        </w:rPr>
      </w:pPr>
      <w:r>
        <w:rPr>
          <w:rFonts w:hint="eastAsia" w:ascii="黑体" w:eastAsia="黑体"/>
          <w:szCs w:val="32"/>
          <w:lang w:eastAsia="zh-CN"/>
        </w:rPr>
        <w:t>项目组织实施情况</w:t>
      </w:r>
    </w:p>
    <w:p>
      <w:pPr>
        <w:numPr>
          <w:ilvl w:val="0"/>
          <w:numId w:val="0"/>
        </w:numPr>
        <w:topLinePunct/>
        <w:ind w:firstLine="594" w:firstLineChars="200"/>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城市管理辅助用车服务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sz w:val="32"/>
          <w:szCs w:val="32"/>
          <w:lang w:val="en-US" w:eastAsia="zh-CN"/>
        </w:rPr>
        <w:t>因项目周期长，金额大，以公开招投标形式实施政府采购，该项目严格按照云南省政府采购流程要求组织实施，通过政府采购计划公示，采购计划审批，委托代理，入场公招，中标公示，合同签订备案公示等最终落实项目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城市管理辅助用车服务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sz w:val="32"/>
          <w:szCs w:val="32"/>
          <w:lang w:val="en-US" w:eastAsia="zh-CN"/>
        </w:rPr>
        <w:t>的主要需求为辅助用车车型需求，围绕辅助用车产生的相关用车服务 ：例如车辆维修、年检、保险、油料等费用均包含在该项目采购金额内。</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keepNext w:val="0"/>
        <w:keepLines w:val="0"/>
        <w:pageBreakBefore w:val="0"/>
        <w:widowControl w:val="0"/>
        <w:kinsoku/>
        <w:wordWrap/>
        <w:overflowPunct/>
        <w:topLinePunct/>
        <w:autoSpaceDE/>
        <w:autoSpaceDN/>
        <w:bidi w:val="0"/>
        <w:adjustRightInd/>
        <w:snapToGrid/>
        <w:spacing w:line="240" w:lineRule="auto"/>
        <w:ind w:right="0" w:rightChars="0" w:firstLine="297" w:firstLineChars="100"/>
        <w:jc w:val="both"/>
        <w:textAlignment w:val="auto"/>
        <w:outlineLvl w:val="9"/>
        <w:rPr>
          <w:rFonts w:hint="eastAsia" w:ascii="仿宋_GB231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城市管理辅助用车服务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sz w:val="32"/>
          <w:szCs w:val="32"/>
          <w:lang w:val="en-US" w:eastAsia="zh-CN"/>
        </w:rPr>
        <w:t>预算</w:t>
      </w:r>
      <w:r>
        <w:rPr>
          <w:rFonts w:hint="eastAsia" w:ascii="仿宋_GB2312" w:hAnsi="仿宋_GB2312" w:eastAsia="仿宋_GB2312" w:cs="仿宋_GB2312"/>
          <w:color w:val="auto"/>
          <w:sz w:val="32"/>
          <w:szCs w:val="32"/>
        </w:rPr>
        <w:t>为人民币450万元/年</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招标期限为三年，最终中标价为420万元/年，三年总运行费用为1260.00万元，政府采购节约资金30万元/年，节约率为6.67%。呈贡区城市投资集团严格按照合同约定提供面包车、SUV、皮卡车和运兵车工四种车型，同时提供</w:t>
      </w:r>
      <w:r>
        <w:rPr>
          <w:rFonts w:hint="eastAsia" w:ascii="仿宋_GB2312" w:hAnsi="仿宋_GB2312" w:eastAsia="仿宋_GB2312" w:cs="仿宋_GB2312"/>
          <w:color w:val="000000"/>
          <w:sz w:val="32"/>
          <w:szCs w:val="32"/>
        </w:rPr>
        <w:t>车辆维修、救援服务</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车辆年审服务</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车辆保养服务</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购买车辆保险</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提供</w:t>
      </w:r>
      <w:r>
        <w:rPr>
          <w:rFonts w:hint="eastAsia" w:ascii="仿宋_GB2312" w:hAnsi="仿宋_GB2312" w:eastAsia="仿宋_GB2312" w:cs="仿宋_GB2312"/>
          <w:color w:val="000000"/>
          <w:sz w:val="32"/>
          <w:szCs w:val="32"/>
        </w:rPr>
        <w:t>每车每年不低于三万公里的</w:t>
      </w:r>
      <w:r>
        <w:rPr>
          <w:rFonts w:hint="eastAsia" w:ascii="仿宋_GB2312" w:hAnsi="仿宋_GB2312" w:eastAsia="仿宋_GB2312" w:cs="仿宋_GB2312"/>
          <w:color w:val="000000"/>
          <w:sz w:val="32"/>
          <w:szCs w:val="32"/>
          <w:lang w:val="en-US" w:eastAsia="zh-CN"/>
        </w:rPr>
        <w:t>燃油</w:t>
      </w:r>
      <w:r>
        <w:rPr>
          <w:rFonts w:hint="eastAsia" w:ascii="仿宋_GB2312" w:hAnsi="仿宋_GB2312" w:eastAsia="仿宋_GB2312" w:cs="仿宋_GB2312"/>
          <w:color w:val="000000"/>
          <w:sz w:val="32"/>
          <w:szCs w:val="32"/>
        </w:rPr>
        <w:t>供应</w:t>
      </w:r>
      <w:r>
        <w:rPr>
          <w:rFonts w:hint="eastAsia" w:ascii="仿宋_GB2312" w:hAnsi="仿宋_GB2312" w:cs="仿宋_GB2312"/>
          <w:color w:val="000000"/>
          <w:sz w:val="32"/>
          <w:szCs w:val="32"/>
          <w:lang w:val="en-US" w:eastAsia="zh-CN"/>
        </w:rPr>
        <w:t>以及</w:t>
      </w:r>
      <w:r>
        <w:rPr>
          <w:rFonts w:hint="eastAsia" w:ascii="仿宋_GB2312" w:hAnsi="仿宋_GB2312" w:eastAsia="仿宋_GB2312" w:cs="仿宋_GB2312"/>
          <w:color w:val="000000"/>
          <w:sz w:val="32"/>
          <w:szCs w:val="32"/>
        </w:rPr>
        <w:t>提供专业专车专人服务</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lang w:val="en-US" w:eastAsia="zh-CN"/>
        </w:rPr>
        <w:t>以上车辆服务及租金均包含于招投标中标价中。该用车模式城管局城管用车困难问题还降低了区城管局车辆管理人力、物理成本及精力，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城市管理辅助用车服务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sz w:val="32"/>
          <w:szCs w:val="32"/>
          <w:lang w:val="en-US" w:eastAsia="zh-CN"/>
        </w:rPr>
        <w:t>是城管工作更加灵活，处置各种突发事件机动性更强。</w:t>
      </w:r>
    </w:p>
    <w:p>
      <w:pPr>
        <w:topLinePunct/>
        <w:ind w:firstLine="594" w:firstLineChars="200"/>
        <w:rPr>
          <w:rFonts w:ascii="黑体" w:eastAsia="黑体"/>
          <w:szCs w:val="32"/>
        </w:rPr>
      </w:pPr>
      <w:r>
        <w:rPr>
          <w:rFonts w:hint="eastAsia" w:ascii="黑体" w:eastAsia="黑体"/>
          <w:szCs w:val="32"/>
          <w:lang w:eastAsia="zh-CN"/>
        </w:rPr>
        <w:t>五</w:t>
      </w:r>
      <w:r>
        <w:rPr>
          <w:rFonts w:hint="eastAsia" w:ascii="黑体" w:eastAsia="黑体"/>
          <w:szCs w:val="32"/>
        </w:rPr>
        <w:t>、存在的问题</w:t>
      </w:r>
    </w:p>
    <w:p>
      <w:pPr>
        <w:topLinePunct/>
        <w:ind w:firstLine="594" w:firstLineChars="200"/>
        <w:rPr>
          <w:rFonts w:hint="default" w:ascii="仿宋_GB2312" w:hAnsi="仿宋_GB2312" w:cs="仿宋_GB231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城市管理辅助用车服务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szCs w:val="32"/>
          <w:lang w:val="en-US" w:eastAsia="zh-CN"/>
        </w:rPr>
        <w:t>通过接近一年的运行，发现存在一下问题。项目在实施过程中，因车辆被分散到各个执法中队及部门，分散较散，但城管局对于该项目的管理组织仅限于个人，管理不成体系，仅个人难以对分散使用的车辆进行完善的统一管理。</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topLinePunct/>
        <w:ind w:firstLine="594" w:firstLineChars="200"/>
        <w:rPr>
          <w:rFonts w:hint="default" w:ascii="仿宋_GB2312" w:eastAsia="仿宋_GB2312"/>
          <w:szCs w:val="32"/>
          <w:lang w:val="en-US" w:eastAsia="zh-CN"/>
        </w:rPr>
      </w:pPr>
      <w:r>
        <w:rPr>
          <w:rFonts w:hint="eastAsia" w:ascii="仿宋_GB2312"/>
          <w:szCs w:val="32"/>
          <w:lang w:val="en-US" w:eastAsia="zh-CN"/>
        </w:rPr>
        <w:t>首先，在“</w:t>
      </w:r>
      <w:r>
        <w:rPr>
          <w:rFonts w:hint="eastAsia" w:ascii="仿宋_GB2312" w:hAnsi="仿宋_GB2312" w:eastAsia="仿宋_GB2312" w:cs="仿宋_GB2312"/>
          <w:sz w:val="32"/>
          <w:szCs w:val="32"/>
          <w:lang w:val="en-US" w:eastAsia="zh-CN"/>
        </w:rPr>
        <w:t>城市管理辅助用车服务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sz w:val="32"/>
          <w:szCs w:val="32"/>
          <w:lang w:val="en-US" w:eastAsia="zh-CN"/>
        </w:rPr>
        <w:t>运行现有问题上加强项目管理，就目前问题及时向领导汇报并提出建议。其次，在项目运行第三年积极开展下一轮</w:t>
      </w:r>
      <w:r>
        <w:rPr>
          <w:rFonts w:hint="eastAsia" w:ascii="仿宋_GB2312"/>
          <w:szCs w:val="32"/>
          <w:lang w:val="en-US" w:eastAsia="zh-CN"/>
        </w:rPr>
        <w:t>“</w:t>
      </w:r>
      <w:r>
        <w:rPr>
          <w:rFonts w:hint="eastAsia" w:ascii="仿宋_GB2312" w:hAnsi="仿宋_GB2312" w:eastAsia="仿宋_GB2312" w:cs="仿宋_GB2312"/>
          <w:sz w:val="32"/>
          <w:szCs w:val="32"/>
          <w:lang w:val="en-US" w:eastAsia="zh-CN"/>
        </w:rPr>
        <w:t>城市管理辅助用车服务</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政府采购工作，避免造成城管局用车缝隙。</w:t>
      </w:r>
    </w:p>
    <w:p>
      <w:bookmarkStart w:id="0" w:name="_GoBack"/>
      <w:bookmarkEnd w:id="0"/>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2DFC65"/>
    <w:multiLevelType w:val="singleLevel"/>
    <w:tmpl w:val="D32DFC6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76A7B"/>
    <w:rsid w:val="05AE36CA"/>
    <w:rsid w:val="083875F4"/>
    <w:rsid w:val="08411503"/>
    <w:rsid w:val="0C2037DE"/>
    <w:rsid w:val="120951E6"/>
    <w:rsid w:val="16C77111"/>
    <w:rsid w:val="22AF43BF"/>
    <w:rsid w:val="306E6BCF"/>
    <w:rsid w:val="33E05F74"/>
    <w:rsid w:val="378A5996"/>
    <w:rsid w:val="44014A53"/>
    <w:rsid w:val="44826E2A"/>
    <w:rsid w:val="45702D20"/>
    <w:rsid w:val="494B4F47"/>
    <w:rsid w:val="4960267D"/>
    <w:rsid w:val="49BC6D88"/>
    <w:rsid w:val="49C16B62"/>
    <w:rsid w:val="4B8E0F95"/>
    <w:rsid w:val="4D0F7F03"/>
    <w:rsid w:val="4FEF3BF2"/>
    <w:rsid w:val="5A3C6978"/>
    <w:rsid w:val="67600811"/>
    <w:rsid w:val="69871BCA"/>
    <w:rsid w:val="6CED25F2"/>
    <w:rsid w:val="6D5775AD"/>
    <w:rsid w:val="72812B84"/>
    <w:rsid w:val="7B38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Dell</cp:lastModifiedBy>
  <dcterms:modified xsi:type="dcterms:W3CDTF">2021-03-22T02:17:25Z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