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市政道路、桥梁、市政设施网格化案件处置项目支出绩效报告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对呈贡辖区内破损市政道路、桥梁、市政设施进行维护管养，2020年共计投入1790000元市政道路、桥梁、市政设施网格化案件处置经费，对市、区网格中心派遣案件进行处置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ascii="仿宋_GB231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（二）</w:t>
      </w:r>
      <w:r>
        <w:rPr>
          <w:rFonts w:hint="eastAsia" w:eastAsia="仿宋_GB2312"/>
          <w:color w:val="333333"/>
          <w:sz w:val="32"/>
          <w:szCs w:val="32"/>
        </w:rPr>
        <w:t>有力提升了市容市貌环境，确保了市民出行满意度。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topLinePunct/>
        <w:ind w:firstLine="594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2020年共计市政道路、桥梁、市政设施网格化案件处置经费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1790000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元，资金到位率100%，已全部投入2020年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市政道路、桥梁、市政设施网格化案件处置工作中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topLinePunct/>
        <w:ind w:firstLine="594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项目采用综合评标方式确定施工单位，通过随机抽取方式确定监理单位、审计单位，对每一个点位施工时都做到人员巡查，在施工完成后组织监理单位、审计单位进行现场验收。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呈贡区市政道路管养维护项目的实施，已完成的项目达到了《市政道路管养维护技术规范要求》及政府的相关要求，达到了预算绩效目标，达到良好的经济、政治和社会效益。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（一）专项立项依据充分；有资金管理办法，资金管理办法规范。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（二）资金分配合理，突出重点，公平公正；无散小差现象；资金分配和使用方向与资金管理办法相符等。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（三）拨付及时，有滞留、闲置等现象。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（四）资金使用合规，无截留、挪用等现象，资金使用产生效益。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eastAsia" w:ascii="仿宋_GB2312"/>
          <w:b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随着呈贡区的快速发展，车流量、人流量日益增多，道路破损点位也随之增多，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建议加大城市道路维护管养资金投入。</w:t>
      </w:r>
    </w:p>
    <w:p/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24C502D6"/>
    <w:rsid w:val="2B660576"/>
    <w:rsid w:val="378A5996"/>
    <w:rsid w:val="5A3C6978"/>
    <w:rsid w:val="6073129C"/>
    <w:rsid w:val="67600811"/>
    <w:rsid w:val="773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cptbtptp.</cp:lastModifiedBy>
  <dcterms:modified xsi:type="dcterms:W3CDTF">2021-03-23T07:10:23Z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